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7EE" w:rsidRPr="00981F58" w:rsidRDefault="0095136E" w:rsidP="00981F58">
      <w:pPr>
        <w:pStyle w:val="Heading2"/>
        <w:numPr>
          <w:ilvl w:val="0"/>
          <w:numId w:val="0"/>
        </w:numPr>
        <w:spacing w:after="120" w:line="280" w:lineRule="exact"/>
        <w:rPr>
          <w:rFonts w:ascii="Tahoma" w:hAnsi="Tahoma" w:cs="Tahoma"/>
          <w:sz w:val="22"/>
          <w:szCs w:val="22"/>
        </w:rPr>
      </w:pPr>
      <w:bookmarkStart w:id="0" w:name="_Toc400450254"/>
      <w:r w:rsidRPr="00981F58">
        <w:rPr>
          <w:rFonts w:ascii="Tahoma" w:hAnsi="Tahoma" w:cs="Tahoma"/>
          <w:sz w:val="22"/>
          <w:szCs w:val="22"/>
        </w:rPr>
        <w:t>Διαδικασία ΔΙ</w:t>
      </w:r>
      <w:r w:rsidR="00BF47EE" w:rsidRPr="00981F58">
        <w:rPr>
          <w:rFonts w:ascii="Tahoma" w:hAnsi="Tahoma" w:cs="Tahoma"/>
          <w:sz w:val="22"/>
          <w:szCs w:val="22"/>
        </w:rPr>
        <w:t>Ι</w:t>
      </w:r>
      <w:r w:rsidR="00AB5B27" w:rsidRPr="00981F58">
        <w:rPr>
          <w:rFonts w:ascii="Tahoma" w:hAnsi="Tahoma" w:cs="Tahoma"/>
          <w:sz w:val="22"/>
          <w:szCs w:val="22"/>
        </w:rPr>
        <w:t>_2</w:t>
      </w:r>
      <w:r w:rsidR="00B56CA0" w:rsidRPr="00981F58">
        <w:rPr>
          <w:rFonts w:ascii="Tahoma" w:hAnsi="Tahoma" w:cs="Tahoma"/>
          <w:sz w:val="22"/>
          <w:szCs w:val="22"/>
        </w:rPr>
        <w:t>:</w:t>
      </w:r>
      <w:bookmarkStart w:id="1" w:name="_Toc400450259"/>
      <w:r w:rsidR="00AB5B27" w:rsidRPr="00981F58">
        <w:rPr>
          <w:rFonts w:ascii="Tahoma" w:hAnsi="Tahoma" w:cs="Tahoma"/>
          <w:sz w:val="22"/>
          <w:szCs w:val="22"/>
        </w:rPr>
        <w:t xml:space="preserve">Έγκριση </w:t>
      </w:r>
      <w:r w:rsidR="00B07FBF" w:rsidRPr="00981F58">
        <w:rPr>
          <w:rFonts w:ascii="Tahoma" w:hAnsi="Tahoma" w:cs="Tahoma"/>
          <w:sz w:val="22"/>
          <w:szCs w:val="22"/>
        </w:rPr>
        <w:t>διακήρυξης</w:t>
      </w:r>
      <w:r w:rsidR="00BF47EE" w:rsidRPr="00981F58">
        <w:rPr>
          <w:rFonts w:ascii="Tahoma" w:hAnsi="Tahoma" w:cs="Tahoma"/>
          <w:sz w:val="22"/>
          <w:szCs w:val="22"/>
        </w:rPr>
        <w:t>(πράξεις πλην ΚΕ)</w:t>
      </w:r>
      <w:bookmarkEnd w:id="1"/>
    </w:p>
    <w:bookmarkEnd w:id="0"/>
    <w:p w:rsidR="00931437" w:rsidRPr="00981F58" w:rsidRDefault="00931437"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 xml:space="preserve">1. Σκοπός </w:t>
      </w:r>
    </w:p>
    <w:p w:rsidR="00BF47EE" w:rsidRPr="00981F58" w:rsidRDefault="004E369B" w:rsidP="00981F58">
      <w:pPr>
        <w:spacing w:after="120" w:line="280" w:lineRule="exact"/>
        <w:rPr>
          <w:rFonts w:ascii="Tahoma" w:hAnsi="Tahoma" w:cs="Tahoma"/>
          <w:sz w:val="20"/>
          <w:szCs w:val="20"/>
        </w:rPr>
      </w:pPr>
      <w:r w:rsidRPr="00981F58">
        <w:rPr>
          <w:rFonts w:ascii="Tahoma" w:hAnsi="Tahoma" w:cs="Tahoma"/>
          <w:sz w:val="20"/>
          <w:szCs w:val="20"/>
        </w:rPr>
        <w:t>Σ</w:t>
      </w:r>
      <w:r w:rsidR="009F7E0C" w:rsidRPr="00981F58">
        <w:rPr>
          <w:rFonts w:ascii="Tahoma" w:hAnsi="Tahoma" w:cs="Tahoma"/>
          <w:sz w:val="20"/>
          <w:szCs w:val="20"/>
        </w:rPr>
        <w:t xml:space="preserve">κοπός της διαδικασίας είναι η ανίχνευση αστοχιών ως προς την τήρηση των </w:t>
      </w:r>
      <w:r w:rsidR="00043856">
        <w:rPr>
          <w:rFonts w:ascii="Tahoma" w:hAnsi="Tahoma" w:cs="Tahoma"/>
          <w:sz w:val="20"/>
          <w:szCs w:val="20"/>
        </w:rPr>
        <w:t xml:space="preserve">ενωσιακών </w:t>
      </w:r>
      <w:r w:rsidR="009F7E0C" w:rsidRPr="00981F58">
        <w:rPr>
          <w:rFonts w:ascii="Tahoma" w:hAnsi="Tahoma" w:cs="Tahoma"/>
          <w:sz w:val="20"/>
          <w:szCs w:val="20"/>
        </w:rPr>
        <w:t xml:space="preserve">και εθνικών κανόνων, κατά τη διαδικασία </w:t>
      </w:r>
      <w:r w:rsidR="00023902" w:rsidRPr="00981F58">
        <w:rPr>
          <w:rFonts w:ascii="Tahoma" w:hAnsi="Tahoma" w:cs="Tahoma"/>
          <w:sz w:val="20"/>
          <w:szCs w:val="20"/>
        </w:rPr>
        <w:t xml:space="preserve">προκήρυξης </w:t>
      </w:r>
      <w:r w:rsidR="009F7E0C" w:rsidRPr="00981F58">
        <w:rPr>
          <w:rFonts w:ascii="Tahoma" w:hAnsi="Tahoma" w:cs="Tahoma"/>
          <w:sz w:val="20"/>
          <w:szCs w:val="20"/>
        </w:rPr>
        <w:t xml:space="preserve"> των υποέργων κάθε συγχρηματοδοτούμενης πράξης, ώστε να εξασφαλίζεται η τήρηση των αρχών της ίσης μεταχείρισης, της αποφυγής διακρίσεων, της αμοιβαίας αναγνώρισης, της αναλογικότητας και της διαφάνειας.</w:t>
      </w:r>
    </w:p>
    <w:p w:rsidR="00931437" w:rsidRPr="00981F58" w:rsidRDefault="00931437"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 xml:space="preserve">2. Πεδίο εφαρμογής </w:t>
      </w:r>
    </w:p>
    <w:p w:rsidR="00BF47EE" w:rsidRPr="00981F58" w:rsidRDefault="004861F5" w:rsidP="00981F58">
      <w:pPr>
        <w:spacing w:after="120" w:line="280" w:lineRule="exact"/>
        <w:rPr>
          <w:rFonts w:ascii="Tahoma" w:hAnsi="Tahoma" w:cs="Tahoma"/>
          <w:sz w:val="20"/>
          <w:szCs w:val="20"/>
        </w:rPr>
      </w:pPr>
      <w:r w:rsidRPr="00981F58">
        <w:rPr>
          <w:rFonts w:ascii="Tahoma" w:hAnsi="Tahoma" w:cs="Tahoma"/>
          <w:sz w:val="20"/>
          <w:szCs w:val="20"/>
        </w:rPr>
        <w:t>Η διαδικασία εφαρμόζεται πριν τη δημοσίευση της προκήρυξης του διαγωνισμού</w:t>
      </w:r>
      <w:r w:rsidR="003069C4" w:rsidRPr="003069C4">
        <w:rPr>
          <w:rFonts w:ascii="Tahoma" w:hAnsi="Tahoma" w:cs="Tahoma"/>
          <w:sz w:val="20"/>
          <w:szCs w:val="20"/>
        </w:rPr>
        <w:t xml:space="preserve"> </w:t>
      </w:r>
      <w:r w:rsidRPr="00981F58">
        <w:rPr>
          <w:rFonts w:ascii="Tahoma" w:hAnsi="Tahoma" w:cs="Tahoma"/>
          <w:sz w:val="20"/>
          <w:szCs w:val="20"/>
        </w:rPr>
        <w:t>για τα υποέργα που υλοποιούνται με σύναψη δημοσίων συμβάσεων (έργων, προμηθειών και υπηρεσιών), ο εκτιμώμενος προϋπολογισμός των οποίων είναι άνω του ορίο</w:t>
      </w:r>
      <w:r w:rsidR="004E369B" w:rsidRPr="00981F58">
        <w:rPr>
          <w:rFonts w:ascii="Tahoma" w:hAnsi="Tahoma" w:cs="Tahoma"/>
          <w:sz w:val="20"/>
          <w:szCs w:val="20"/>
        </w:rPr>
        <w:t>υ της παραγράφου 1, του άρθρου 13</w:t>
      </w:r>
      <w:r w:rsidRPr="00981F58">
        <w:rPr>
          <w:rFonts w:ascii="Tahoma" w:hAnsi="Tahoma" w:cs="Tahoma"/>
          <w:sz w:val="20"/>
          <w:szCs w:val="20"/>
        </w:rPr>
        <w:t xml:space="preserve">3 του Ν. </w:t>
      </w:r>
      <w:r w:rsidR="004E369B" w:rsidRPr="00981F58">
        <w:rPr>
          <w:rFonts w:ascii="Tahoma" w:hAnsi="Tahoma" w:cs="Tahoma"/>
          <w:sz w:val="20"/>
          <w:szCs w:val="20"/>
        </w:rPr>
        <w:t>4270</w:t>
      </w:r>
      <w:r w:rsidRPr="00981F58">
        <w:rPr>
          <w:rFonts w:ascii="Tahoma" w:hAnsi="Tahoma" w:cs="Tahoma"/>
          <w:sz w:val="20"/>
          <w:szCs w:val="20"/>
        </w:rPr>
        <w:t>/</w:t>
      </w:r>
      <w:r w:rsidR="004E369B" w:rsidRPr="00981F58">
        <w:rPr>
          <w:rFonts w:ascii="Tahoma" w:hAnsi="Tahoma" w:cs="Tahoma"/>
          <w:sz w:val="20"/>
          <w:szCs w:val="20"/>
        </w:rPr>
        <w:t>2014</w:t>
      </w:r>
      <w:r w:rsidR="00B07FBF" w:rsidRPr="00981F58">
        <w:rPr>
          <w:rFonts w:ascii="Tahoma" w:hAnsi="Tahoma" w:cs="Tahoma"/>
          <w:sz w:val="20"/>
          <w:szCs w:val="20"/>
        </w:rPr>
        <w:t>,</w:t>
      </w:r>
      <w:r w:rsidR="00815B57" w:rsidRPr="00981F58">
        <w:rPr>
          <w:rFonts w:ascii="Tahoma" w:hAnsi="Tahoma" w:cs="Tahoma"/>
          <w:sz w:val="20"/>
          <w:szCs w:val="20"/>
        </w:rPr>
        <w:t xml:space="preserve"> (</w:t>
      </w:r>
      <w:r w:rsidR="00B07FBF" w:rsidRPr="00981F58">
        <w:rPr>
          <w:rFonts w:ascii="Tahoma" w:hAnsi="Tahoma" w:cs="Tahoma"/>
          <w:sz w:val="20"/>
          <w:szCs w:val="20"/>
        </w:rPr>
        <w:t xml:space="preserve">όπως ισχύει δυνάμει του άρθρου 199 </w:t>
      </w:r>
      <w:proofErr w:type="spellStart"/>
      <w:r w:rsidR="00B07FBF" w:rsidRPr="00981F58">
        <w:rPr>
          <w:rFonts w:ascii="Tahoma" w:hAnsi="Tahoma" w:cs="Tahoma"/>
          <w:sz w:val="20"/>
          <w:szCs w:val="20"/>
        </w:rPr>
        <w:t>περ</w:t>
      </w:r>
      <w:proofErr w:type="spellEnd"/>
      <w:r w:rsidR="00B07FBF" w:rsidRPr="00981F58">
        <w:rPr>
          <w:rFonts w:ascii="Tahoma" w:hAnsi="Tahoma" w:cs="Tahoma"/>
          <w:sz w:val="20"/>
          <w:szCs w:val="20"/>
        </w:rPr>
        <w:t>. 42 παρ. 1Α του Ν. 4281/2014 (</w:t>
      </w:r>
      <w:r w:rsidR="009452A6">
        <w:rPr>
          <w:rFonts w:ascii="Tahoma" w:hAnsi="Tahoma" w:cs="Tahoma"/>
          <w:sz w:val="20"/>
          <w:szCs w:val="20"/>
        </w:rPr>
        <w:t xml:space="preserve">ΦΕΚ </w:t>
      </w:r>
      <w:r w:rsidR="00B07FBF" w:rsidRPr="00981F58">
        <w:rPr>
          <w:rFonts w:ascii="Tahoma" w:hAnsi="Tahoma" w:cs="Tahoma"/>
          <w:sz w:val="20"/>
          <w:szCs w:val="20"/>
        </w:rPr>
        <w:t>Α΄ 160)</w:t>
      </w:r>
      <w:r w:rsidR="00815B57" w:rsidRPr="00981F58">
        <w:rPr>
          <w:rFonts w:ascii="Tahoma" w:hAnsi="Tahoma" w:cs="Tahoma"/>
          <w:sz w:val="20"/>
          <w:szCs w:val="20"/>
        </w:rPr>
        <w:t xml:space="preserve"> και του άρθρου </w:t>
      </w:r>
      <w:r w:rsidR="00B07FBF" w:rsidRPr="00981F58">
        <w:rPr>
          <w:rFonts w:ascii="Tahoma" w:hAnsi="Tahoma" w:cs="Tahoma"/>
          <w:sz w:val="20"/>
          <w:szCs w:val="20"/>
        </w:rPr>
        <w:t>37</w:t>
      </w:r>
      <w:r w:rsidR="003069C4" w:rsidRPr="003069C4">
        <w:rPr>
          <w:rFonts w:ascii="Tahoma" w:hAnsi="Tahoma" w:cs="Tahoma"/>
          <w:sz w:val="20"/>
          <w:szCs w:val="20"/>
        </w:rPr>
        <w:t xml:space="preserve"> </w:t>
      </w:r>
      <w:r w:rsidR="00B07FBF" w:rsidRPr="00981F58">
        <w:rPr>
          <w:rFonts w:ascii="Tahoma" w:hAnsi="Tahoma" w:cs="Tahoma"/>
          <w:sz w:val="20"/>
          <w:szCs w:val="20"/>
        </w:rPr>
        <w:t xml:space="preserve">παρ.1 </w:t>
      </w:r>
      <w:r w:rsidR="00815B57" w:rsidRPr="00981F58">
        <w:rPr>
          <w:rFonts w:ascii="Tahoma" w:hAnsi="Tahoma" w:cs="Tahoma"/>
          <w:sz w:val="20"/>
          <w:szCs w:val="20"/>
        </w:rPr>
        <w:t xml:space="preserve">του </w:t>
      </w:r>
      <w:r w:rsidR="00B07FBF" w:rsidRPr="00981F58">
        <w:rPr>
          <w:rFonts w:ascii="Tahoma" w:hAnsi="Tahoma" w:cs="Tahoma"/>
          <w:sz w:val="20"/>
          <w:szCs w:val="20"/>
        </w:rPr>
        <w:t>Ν.4320/2015</w:t>
      </w:r>
      <w:r w:rsidR="00815B57" w:rsidRPr="00981F58">
        <w:rPr>
          <w:rFonts w:ascii="Tahoma" w:hAnsi="Tahoma" w:cs="Tahoma"/>
          <w:sz w:val="20"/>
          <w:szCs w:val="20"/>
        </w:rPr>
        <w:t xml:space="preserve"> (</w:t>
      </w:r>
      <w:r w:rsidR="009452A6">
        <w:rPr>
          <w:rFonts w:ascii="Tahoma" w:hAnsi="Tahoma" w:cs="Tahoma"/>
          <w:sz w:val="20"/>
          <w:szCs w:val="20"/>
        </w:rPr>
        <w:t xml:space="preserve">ΦΕΚ </w:t>
      </w:r>
      <w:r w:rsidR="00B07FBF" w:rsidRPr="00981F58">
        <w:rPr>
          <w:rFonts w:ascii="Tahoma" w:hAnsi="Tahoma" w:cs="Tahoma"/>
          <w:sz w:val="20"/>
          <w:szCs w:val="20"/>
        </w:rPr>
        <w:t>Α</w:t>
      </w:r>
      <w:r w:rsidR="00815B57" w:rsidRPr="00981F58">
        <w:rPr>
          <w:rFonts w:ascii="Tahoma" w:hAnsi="Tahoma" w:cs="Tahoma"/>
          <w:sz w:val="20"/>
          <w:szCs w:val="20"/>
        </w:rPr>
        <w:t xml:space="preserve">΄ </w:t>
      </w:r>
      <w:r w:rsidR="00B07FBF" w:rsidRPr="00981F58">
        <w:rPr>
          <w:rFonts w:ascii="Tahoma" w:hAnsi="Tahoma" w:cs="Tahoma"/>
          <w:sz w:val="20"/>
          <w:szCs w:val="20"/>
        </w:rPr>
        <w:t>29</w:t>
      </w:r>
      <w:r w:rsidR="00815B57" w:rsidRPr="00981F58">
        <w:rPr>
          <w:rFonts w:ascii="Tahoma" w:hAnsi="Tahoma" w:cs="Tahoma"/>
          <w:sz w:val="20"/>
          <w:szCs w:val="20"/>
        </w:rPr>
        <w:t>)),</w:t>
      </w:r>
      <w:r w:rsidRPr="00981F58">
        <w:rPr>
          <w:rFonts w:ascii="Tahoma" w:hAnsi="Tahoma" w:cs="Tahoma"/>
          <w:sz w:val="20"/>
          <w:szCs w:val="20"/>
        </w:rPr>
        <w:t xml:space="preserve"> που </w:t>
      </w:r>
      <w:r w:rsidR="00815B57" w:rsidRPr="00981F58">
        <w:rPr>
          <w:rFonts w:ascii="Tahoma" w:hAnsi="Tahoma" w:cs="Tahoma"/>
          <w:sz w:val="20"/>
          <w:szCs w:val="20"/>
        </w:rPr>
        <w:t>αφορά στ</w:t>
      </w:r>
      <w:r w:rsidRPr="00981F58">
        <w:rPr>
          <w:rFonts w:ascii="Tahoma" w:hAnsi="Tahoma" w:cs="Tahoma"/>
          <w:sz w:val="20"/>
          <w:szCs w:val="20"/>
        </w:rPr>
        <w:t>η διενέργεια διαγωνισμών με συνοπτική διαδικασία (πρόχειρος).</w:t>
      </w:r>
      <w:r w:rsidR="00421121" w:rsidRPr="00981F58">
        <w:rPr>
          <w:rFonts w:ascii="Tahoma" w:hAnsi="Tahoma" w:cs="Tahoma"/>
          <w:sz w:val="20"/>
          <w:szCs w:val="20"/>
        </w:rPr>
        <w:t xml:space="preserve">Στις περιπτώσεις που το </w:t>
      </w:r>
      <w:r w:rsidR="00043856">
        <w:rPr>
          <w:rFonts w:ascii="Tahoma" w:hAnsi="Tahoma" w:cs="Tahoma"/>
          <w:sz w:val="20"/>
          <w:szCs w:val="20"/>
        </w:rPr>
        <w:t>ΔΑ/ΕΦ</w:t>
      </w:r>
      <w:r w:rsidR="00421121" w:rsidRPr="00981F58">
        <w:rPr>
          <w:rFonts w:ascii="Tahoma" w:hAnsi="Tahoma" w:cs="Tahoma"/>
          <w:sz w:val="20"/>
          <w:szCs w:val="20"/>
        </w:rPr>
        <w:t xml:space="preserve"> εφαρμόζει </w:t>
      </w:r>
      <w:r w:rsidR="002643B1">
        <w:rPr>
          <w:rFonts w:ascii="Tahoma" w:hAnsi="Tahoma" w:cs="Tahoma"/>
          <w:sz w:val="20"/>
          <w:szCs w:val="20"/>
        </w:rPr>
        <w:t>μεθοδολογία</w:t>
      </w:r>
      <w:r w:rsidR="00421121" w:rsidRPr="00981F58">
        <w:rPr>
          <w:rFonts w:ascii="Tahoma" w:hAnsi="Tahoma" w:cs="Tahoma"/>
          <w:sz w:val="20"/>
          <w:szCs w:val="20"/>
        </w:rPr>
        <w:t xml:space="preserve"> εκτίμησης επικινδυνότητας για τον περιορισμό του αριθμού των προελέγχων, η </w:t>
      </w:r>
      <w:r w:rsidR="00955B73" w:rsidRPr="00981F58">
        <w:rPr>
          <w:rFonts w:ascii="Tahoma" w:hAnsi="Tahoma" w:cs="Tahoma"/>
          <w:sz w:val="20"/>
          <w:szCs w:val="20"/>
        </w:rPr>
        <w:t>διαδικασία δεν εφαρμόζεται για τις διακηρύξεις που ενώ εμπ</w:t>
      </w:r>
      <w:r w:rsidR="00421121" w:rsidRPr="00981F58">
        <w:rPr>
          <w:rFonts w:ascii="Tahoma" w:hAnsi="Tahoma" w:cs="Tahoma"/>
          <w:sz w:val="20"/>
          <w:szCs w:val="20"/>
        </w:rPr>
        <w:t xml:space="preserve">ίπτουν στα </w:t>
      </w:r>
      <w:r w:rsidR="00955B73" w:rsidRPr="00981F58">
        <w:rPr>
          <w:rFonts w:ascii="Tahoma" w:hAnsi="Tahoma" w:cs="Tahoma"/>
          <w:sz w:val="20"/>
          <w:szCs w:val="20"/>
        </w:rPr>
        <w:t>όρια αυτά</w:t>
      </w:r>
      <w:r w:rsidR="00421121" w:rsidRPr="00981F58">
        <w:rPr>
          <w:rFonts w:ascii="Tahoma" w:hAnsi="Tahoma" w:cs="Tahoma"/>
          <w:sz w:val="20"/>
          <w:szCs w:val="20"/>
        </w:rPr>
        <w:t xml:space="preserve"> δεν έχουν επιλεγεί για προέλεγχο δυνάμει </w:t>
      </w:r>
      <w:r w:rsidR="002643B1">
        <w:rPr>
          <w:rFonts w:ascii="Tahoma" w:hAnsi="Tahoma" w:cs="Tahoma"/>
          <w:sz w:val="20"/>
          <w:szCs w:val="20"/>
        </w:rPr>
        <w:t xml:space="preserve">της εφαρμοζόμενης μεθόδου </w:t>
      </w:r>
      <w:r w:rsidR="00421121" w:rsidRPr="00981F58">
        <w:rPr>
          <w:rFonts w:ascii="Tahoma" w:hAnsi="Tahoma" w:cs="Tahoma"/>
          <w:sz w:val="20"/>
          <w:szCs w:val="20"/>
        </w:rPr>
        <w:t xml:space="preserve"> εκτίμησης επικινδυνότητας</w:t>
      </w:r>
      <w:r w:rsidR="002643B1">
        <w:rPr>
          <w:rFonts w:ascii="Tahoma" w:hAnsi="Tahoma" w:cs="Tahoma"/>
          <w:sz w:val="20"/>
          <w:szCs w:val="20"/>
        </w:rPr>
        <w:t>.</w:t>
      </w:r>
    </w:p>
    <w:p w:rsidR="0095136E" w:rsidRPr="00981F58" w:rsidRDefault="0095136E"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 xml:space="preserve">3. Θεσμικό Πλαίσιο </w:t>
      </w:r>
    </w:p>
    <w:p w:rsidR="00043856" w:rsidRPr="00CE108D" w:rsidRDefault="00883FCD" w:rsidP="00CE108D">
      <w:pPr>
        <w:pStyle w:val="ListParagraph"/>
        <w:numPr>
          <w:ilvl w:val="0"/>
          <w:numId w:val="16"/>
        </w:numPr>
        <w:spacing w:after="120" w:line="280" w:lineRule="exact"/>
        <w:ind w:left="284" w:hanging="284"/>
        <w:rPr>
          <w:rFonts w:ascii="Tahoma" w:hAnsi="Tahoma" w:cs="Tahoma"/>
          <w:sz w:val="20"/>
          <w:szCs w:val="20"/>
        </w:rPr>
      </w:pPr>
      <w:r w:rsidRPr="00CE108D">
        <w:rPr>
          <w:rFonts w:ascii="Tahoma" w:hAnsi="Tahoma" w:cs="Tahoma"/>
          <w:sz w:val="20"/>
          <w:szCs w:val="20"/>
        </w:rPr>
        <w:t>Νόμος 4314/2014</w:t>
      </w:r>
    </w:p>
    <w:p w:rsidR="00815B57" w:rsidRPr="00CE108D" w:rsidRDefault="00815B57" w:rsidP="00CE108D">
      <w:pPr>
        <w:pStyle w:val="ListParagraph"/>
        <w:numPr>
          <w:ilvl w:val="0"/>
          <w:numId w:val="16"/>
        </w:numPr>
        <w:spacing w:after="120" w:line="280" w:lineRule="exact"/>
        <w:ind w:left="284" w:hanging="284"/>
        <w:rPr>
          <w:rFonts w:ascii="Tahoma" w:hAnsi="Tahoma" w:cs="Tahoma"/>
          <w:sz w:val="20"/>
          <w:szCs w:val="20"/>
        </w:rPr>
      </w:pPr>
      <w:r w:rsidRPr="00CE108D">
        <w:rPr>
          <w:rFonts w:ascii="Tahoma" w:hAnsi="Tahoma" w:cs="Tahoma"/>
          <w:sz w:val="20"/>
          <w:szCs w:val="20"/>
        </w:rPr>
        <w:t>Νόμος 4270/2014</w:t>
      </w:r>
    </w:p>
    <w:p w:rsidR="00043856" w:rsidRPr="00CE108D" w:rsidRDefault="00043856" w:rsidP="00CE108D">
      <w:pPr>
        <w:pStyle w:val="ListParagraph"/>
        <w:numPr>
          <w:ilvl w:val="0"/>
          <w:numId w:val="16"/>
        </w:numPr>
        <w:spacing w:after="120" w:line="280" w:lineRule="exact"/>
        <w:ind w:left="284" w:hanging="284"/>
        <w:rPr>
          <w:rFonts w:ascii="Tahoma" w:hAnsi="Tahoma" w:cs="Tahoma"/>
          <w:sz w:val="20"/>
          <w:szCs w:val="20"/>
        </w:rPr>
      </w:pPr>
      <w:r w:rsidRPr="00CE108D">
        <w:rPr>
          <w:rFonts w:ascii="Tahoma" w:hAnsi="Tahoma" w:cs="Tahoma"/>
          <w:sz w:val="20"/>
          <w:szCs w:val="20"/>
        </w:rPr>
        <w:t>Νόμος 4281/2014</w:t>
      </w:r>
    </w:p>
    <w:p w:rsidR="00931437" w:rsidRPr="00981F58" w:rsidRDefault="0095136E"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bookmarkStart w:id="2" w:name="ID480085GFX"/>
      <w:bookmarkStart w:id="3" w:name="ID492212"/>
      <w:bookmarkEnd w:id="2"/>
      <w:bookmarkEnd w:id="3"/>
      <w:r w:rsidRPr="00981F58">
        <w:rPr>
          <w:rFonts w:ascii="Tahoma" w:hAnsi="Tahoma" w:cs="Tahoma"/>
          <w:b/>
          <w:bCs/>
          <w:color w:val="FFFFFF" w:themeColor="background1"/>
          <w:sz w:val="20"/>
          <w:szCs w:val="20"/>
        </w:rPr>
        <w:t>4</w:t>
      </w:r>
      <w:r w:rsidR="00931437" w:rsidRPr="00981F58">
        <w:rPr>
          <w:rFonts w:ascii="Tahoma" w:hAnsi="Tahoma" w:cs="Tahoma"/>
          <w:b/>
          <w:bCs/>
          <w:color w:val="FFFFFF" w:themeColor="background1"/>
          <w:sz w:val="20"/>
          <w:szCs w:val="20"/>
        </w:rPr>
        <w:t xml:space="preserve">. Περιγραφή </w:t>
      </w:r>
    </w:p>
    <w:p w:rsidR="00BF47EE" w:rsidRPr="00981F58" w:rsidRDefault="009E509F" w:rsidP="00981F58">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981F58">
        <w:rPr>
          <w:rFonts w:ascii="Tahoma" w:hAnsi="Tahoma" w:cs="Tahoma"/>
          <w:b/>
          <w:bCs/>
          <w:color w:val="990000"/>
          <w:sz w:val="20"/>
          <w:szCs w:val="20"/>
        </w:rPr>
        <w:t>Υποβολή αιτήματος από Δικαιούχο</w:t>
      </w:r>
    </w:p>
    <w:p w:rsidR="008573F7" w:rsidRPr="00981F58" w:rsidRDefault="008573F7" w:rsidP="00CE108D">
      <w:pPr>
        <w:pStyle w:val="ListParagraph"/>
        <w:spacing w:line="280" w:lineRule="exact"/>
        <w:ind w:left="0"/>
        <w:contextualSpacing w:val="0"/>
        <w:rPr>
          <w:rFonts w:ascii="Tahoma" w:hAnsi="Tahoma" w:cs="Tahoma"/>
          <w:sz w:val="20"/>
          <w:szCs w:val="20"/>
        </w:rPr>
      </w:pPr>
      <w:r w:rsidRPr="00981F58">
        <w:rPr>
          <w:rFonts w:ascii="Tahoma" w:hAnsi="Tahoma" w:cs="Tahoma"/>
          <w:sz w:val="20"/>
          <w:szCs w:val="20"/>
        </w:rPr>
        <w:t xml:space="preserve">Ο Δικαιούχος υποβάλλει στη </w:t>
      </w:r>
      <w:r w:rsidRPr="009452A6">
        <w:rPr>
          <w:rFonts w:ascii="Tahoma" w:hAnsi="Tahoma" w:cs="Tahoma"/>
          <w:sz w:val="20"/>
          <w:szCs w:val="20"/>
        </w:rPr>
        <w:t>ΔΑ</w:t>
      </w:r>
      <w:r w:rsidR="00EF1F9C" w:rsidRPr="009452A6">
        <w:rPr>
          <w:rFonts w:ascii="Tahoma" w:hAnsi="Tahoma" w:cs="Tahoma"/>
          <w:sz w:val="20"/>
          <w:szCs w:val="20"/>
        </w:rPr>
        <w:t>/</w:t>
      </w:r>
      <w:r w:rsidRPr="009452A6">
        <w:rPr>
          <w:rFonts w:ascii="Tahoma" w:hAnsi="Tahoma" w:cs="Tahoma"/>
          <w:sz w:val="20"/>
          <w:szCs w:val="20"/>
        </w:rPr>
        <w:t xml:space="preserve"> ΕΦ</w:t>
      </w:r>
      <w:r w:rsidRPr="00981F58">
        <w:rPr>
          <w:rFonts w:ascii="Tahoma" w:hAnsi="Tahoma" w:cs="Tahoma"/>
          <w:sz w:val="20"/>
          <w:szCs w:val="20"/>
        </w:rPr>
        <w:t xml:space="preserve"> μέσω του ΟΠΣ αίτημα για την εξέταση της διαδικασίας </w:t>
      </w:r>
      <w:r w:rsidR="00815B57" w:rsidRPr="00981F58">
        <w:rPr>
          <w:rFonts w:ascii="Tahoma" w:hAnsi="Tahoma" w:cs="Tahoma"/>
          <w:sz w:val="20"/>
          <w:szCs w:val="20"/>
        </w:rPr>
        <w:t xml:space="preserve">της διακήρυξης </w:t>
      </w:r>
      <w:r w:rsidRPr="00981F58">
        <w:rPr>
          <w:rFonts w:ascii="Tahoma" w:hAnsi="Tahoma" w:cs="Tahoma"/>
          <w:sz w:val="20"/>
          <w:szCs w:val="20"/>
        </w:rPr>
        <w:t xml:space="preserve"> συνοδευόμενο με τα απαραίτητα έγγραφα.</w:t>
      </w:r>
    </w:p>
    <w:p w:rsidR="00CE108D" w:rsidRDefault="00CE108D" w:rsidP="00CE108D">
      <w:pPr>
        <w:spacing w:before="0" w:line="280" w:lineRule="exact"/>
        <w:rPr>
          <w:rFonts w:ascii="Tahoma" w:hAnsi="Tahoma" w:cs="Tahoma"/>
          <w:sz w:val="20"/>
          <w:szCs w:val="20"/>
        </w:rPr>
      </w:pPr>
    </w:p>
    <w:p w:rsidR="008573F7" w:rsidRPr="00981F58" w:rsidRDefault="008573F7" w:rsidP="00CE108D">
      <w:pPr>
        <w:spacing w:before="0" w:line="280" w:lineRule="exact"/>
        <w:rPr>
          <w:rFonts w:ascii="Tahoma" w:hAnsi="Tahoma" w:cs="Tahoma"/>
          <w:sz w:val="20"/>
          <w:szCs w:val="20"/>
        </w:rPr>
      </w:pPr>
      <w:r w:rsidRPr="00981F58">
        <w:rPr>
          <w:rFonts w:ascii="Tahoma" w:hAnsi="Tahoma" w:cs="Tahoma"/>
          <w:sz w:val="20"/>
          <w:szCs w:val="20"/>
        </w:rPr>
        <w:t>Το αίτημα αυτό υποβάλλεται:</w:t>
      </w:r>
    </w:p>
    <w:p w:rsidR="008573F7" w:rsidRPr="00981F58" w:rsidRDefault="008573F7" w:rsidP="00981F58">
      <w:pPr>
        <w:spacing w:after="120" w:line="280" w:lineRule="exact"/>
        <w:rPr>
          <w:rFonts w:ascii="Tahoma" w:hAnsi="Tahoma" w:cs="Tahoma"/>
          <w:sz w:val="20"/>
          <w:szCs w:val="20"/>
        </w:rPr>
      </w:pPr>
      <w:r w:rsidRPr="00981F58">
        <w:rPr>
          <w:rFonts w:ascii="Tahoma" w:hAnsi="Tahoma" w:cs="Tahoma"/>
          <w:sz w:val="20"/>
          <w:szCs w:val="20"/>
        </w:rPr>
        <w:t>α) πριν τη δημοσίευση της προκήρυξης του διαγωνισμού, για:</w:t>
      </w:r>
    </w:p>
    <w:p w:rsidR="00E045C4" w:rsidRPr="00E045C4" w:rsidRDefault="00DA5839" w:rsidP="0001126B">
      <w:pPr>
        <w:spacing w:after="120" w:line="280" w:lineRule="exact"/>
        <w:rPr>
          <w:rFonts w:ascii="Tahoma" w:hAnsi="Tahoma" w:cs="Tahoma"/>
          <w:sz w:val="20"/>
          <w:szCs w:val="20"/>
        </w:rPr>
      </w:pPr>
      <w:proofErr w:type="spellStart"/>
      <w:proofErr w:type="gramStart"/>
      <w:r>
        <w:rPr>
          <w:rFonts w:ascii="Tahoma" w:hAnsi="Tahoma" w:cs="Tahoma"/>
          <w:sz w:val="20"/>
          <w:szCs w:val="20"/>
          <w:lang w:val="en-US"/>
        </w:rPr>
        <w:t>i</w:t>
      </w:r>
      <w:proofErr w:type="spellEnd"/>
      <w:proofErr w:type="gramEnd"/>
      <w:r w:rsidR="00E045C4" w:rsidRPr="00E045C4">
        <w:rPr>
          <w:rFonts w:ascii="Tahoma" w:hAnsi="Tahoma" w:cs="Tahoma"/>
          <w:sz w:val="20"/>
          <w:szCs w:val="20"/>
        </w:rPr>
        <w:t>. διαδικασίες ανάθεσης συμβάσεων έργων, προμηθειών ή υπηρεσιών που εμπίπτουν στο πεδίο εφαρμογής των κοινοτικών οδηγιών, και</w:t>
      </w:r>
    </w:p>
    <w:p w:rsidR="00E045C4" w:rsidRPr="00E045C4" w:rsidRDefault="00E045C4" w:rsidP="0001126B">
      <w:pPr>
        <w:spacing w:after="120" w:line="280" w:lineRule="exact"/>
        <w:ind w:left="284" w:hanging="284"/>
        <w:rPr>
          <w:rFonts w:ascii="Tahoma" w:hAnsi="Tahoma" w:cs="Tahoma"/>
          <w:sz w:val="20"/>
          <w:szCs w:val="20"/>
        </w:rPr>
      </w:pPr>
      <w:r w:rsidRPr="00E045C4">
        <w:rPr>
          <w:rFonts w:ascii="Tahoma" w:hAnsi="Tahoma" w:cs="Tahoma"/>
          <w:sz w:val="20"/>
          <w:szCs w:val="20"/>
        </w:rPr>
        <w:t>i</w:t>
      </w:r>
      <w:proofErr w:type="spellStart"/>
      <w:r w:rsidR="00DA5839">
        <w:rPr>
          <w:rFonts w:ascii="Tahoma" w:hAnsi="Tahoma" w:cs="Tahoma"/>
          <w:sz w:val="20"/>
          <w:szCs w:val="20"/>
          <w:lang w:val="en-US"/>
        </w:rPr>
        <w:t>i</w:t>
      </w:r>
      <w:proofErr w:type="spellEnd"/>
      <w:r w:rsidR="0001126B">
        <w:rPr>
          <w:rFonts w:ascii="Tahoma" w:hAnsi="Tahoma" w:cs="Tahoma"/>
          <w:sz w:val="20"/>
          <w:szCs w:val="20"/>
        </w:rPr>
        <w:t>.</w:t>
      </w:r>
      <w:r w:rsidR="00DA5839">
        <w:rPr>
          <w:rFonts w:ascii="Tahoma" w:hAnsi="Tahoma" w:cs="Tahoma"/>
          <w:sz w:val="20"/>
          <w:szCs w:val="20"/>
        </w:rPr>
        <w:t xml:space="preserve">α. </w:t>
      </w:r>
      <w:r w:rsidRPr="00E045C4">
        <w:rPr>
          <w:rFonts w:ascii="Tahoma" w:hAnsi="Tahoma" w:cs="Tahoma"/>
          <w:sz w:val="20"/>
          <w:szCs w:val="20"/>
        </w:rPr>
        <w:t xml:space="preserve">διαδικασίες ανάθεσης συμβάσεων προμηθειών ή υπηρεσιών οι οποίες δεν εμπίπτουν στο πεδίο εφαρμογής των οδηγιών της Ευρωπαϊκής Ένωσης (εφεξής ΕΕ) και έχουν προϋπολογισμό μεγαλύτερο ή ίσο του ποσού των 60.000 ευρώ, άνευ ΦΠΑ, εφόσον δεν εφαρμόζεται μεθοδολογία εκτίμησης επικινδυνότητας.  </w:t>
      </w:r>
    </w:p>
    <w:p w:rsidR="00E045C4" w:rsidRPr="00E045C4" w:rsidRDefault="00DA5839" w:rsidP="00E045C4">
      <w:pPr>
        <w:spacing w:after="120" w:line="280" w:lineRule="exact"/>
        <w:ind w:left="284"/>
        <w:rPr>
          <w:rFonts w:ascii="Tahoma" w:hAnsi="Tahoma" w:cs="Tahoma"/>
          <w:sz w:val="20"/>
          <w:szCs w:val="20"/>
        </w:rPr>
      </w:pPr>
      <w:r>
        <w:rPr>
          <w:rFonts w:ascii="Tahoma" w:hAnsi="Tahoma" w:cs="Tahoma"/>
          <w:sz w:val="20"/>
          <w:szCs w:val="20"/>
        </w:rPr>
        <w:t>β.</w:t>
      </w:r>
      <w:r w:rsidR="00E045C4" w:rsidRPr="00E045C4">
        <w:rPr>
          <w:rFonts w:ascii="Tahoma" w:hAnsi="Tahoma" w:cs="Tahoma"/>
          <w:sz w:val="20"/>
          <w:szCs w:val="20"/>
        </w:rPr>
        <w:t xml:space="preserve"> διαδικασίες ανάθεσης συμβάσεων έργων που δεν εμπίπτουν στο πεδίο εφαρμογής των οδηγιών της ΕΕ και έχουν προϋπολογισμό ίσο ή μεγαλύτερο του ποσού του 1.000.000 ευρώ, άνευ ΦΠΑ. </w:t>
      </w:r>
    </w:p>
    <w:p w:rsidR="00E045C4" w:rsidRPr="00E045C4" w:rsidRDefault="00DA5839" w:rsidP="00E045C4">
      <w:pPr>
        <w:spacing w:after="120" w:line="280" w:lineRule="exact"/>
        <w:ind w:left="284"/>
        <w:rPr>
          <w:rFonts w:ascii="Tahoma" w:hAnsi="Tahoma" w:cs="Tahoma"/>
          <w:sz w:val="20"/>
          <w:szCs w:val="20"/>
        </w:rPr>
      </w:pPr>
      <w:r>
        <w:rPr>
          <w:rFonts w:ascii="Tahoma" w:hAnsi="Tahoma" w:cs="Tahoma"/>
          <w:sz w:val="20"/>
          <w:szCs w:val="20"/>
        </w:rPr>
        <w:t>γ.</w:t>
      </w:r>
      <w:r w:rsidR="00E045C4" w:rsidRPr="00E045C4">
        <w:rPr>
          <w:rFonts w:ascii="Tahoma" w:hAnsi="Tahoma" w:cs="Tahoma"/>
          <w:sz w:val="20"/>
          <w:szCs w:val="20"/>
        </w:rPr>
        <w:t xml:space="preserve"> διαδικασίες ανάθεσης συμβάσεων έργων που δεν εμπίπτουν στο πεδίο εφαρμογής των οδηγιών της ΕΕ και έχουν προϋπολογισμό μικρότερο του ποσού του 1.000.000 ευρώ, άνευ ΦΠΑ, και μεγαλύτερο ή ίσο του ποσού των 60.000 ευρώ, άνευ ΦΠΑ, εφόσον δεν εφαρμόζεται μεθοδολογία εκτίμησης επικινδυνότητας.   </w:t>
      </w:r>
    </w:p>
    <w:p w:rsidR="008573F7" w:rsidRPr="00981F58" w:rsidRDefault="008573F7" w:rsidP="00DA5839">
      <w:pPr>
        <w:spacing w:after="120" w:line="280" w:lineRule="exact"/>
        <w:rPr>
          <w:rFonts w:ascii="Tahoma" w:hAnsi="Tahoma" w:cs="Tahoma"/>
          <w:color w:val="000000"/>
          <w:sz w:val="20"/>
          <w:szCs w:val="20"/>
        </w:rPr>
      </w:pPr>
      <w:r w:rsidRPr="00981F58">
        <w:rPr>
          <w:rFonts w:ascii="Tahoma" w:hAnsi="Tahoma" w:cs="Tahoma"/>
          <w:color w:val="000000"/>
          <w:sz w:val="20"/>
          <w:szCs w:val="20"/>
        </w:rPr>
        <w:t xml:space="preserve">β) κατά την υποβολή της πρώτης δήλωσης δαπάνης του </w:t>
      </w:r>
      <w:r w:rsidR="007D1B27">
        <w:rPr>
          <w:rFonts w:ascii="Tahoma" w:hAnsi="Tahoma" w:cs="Tahoma"/>
          <w:color w:val="000000"/>
          <w:sz w:val="20"/>
          <w:szCs w:val="20"/>
        </w:rPr>
        <w:t>υ</w:t>
      </w:r>
      <w:r w:rsidRPr="00981F58">
        <w:rPr>
          <w:rFonts w:ascii="Tahoma" w:hAnsi="Tahoma" w:cs="Tahoma"/>
          <w:color w:val="000000"/>
          <w:sz w:val="20"/>
          <w:szCs w:val="20"/>
        </w:rPr>
        <w:t>ποέργου, για:</w:t>
      </w:r>
    </w:p>
    <w:p w:rsidR="00E045C4" w:rsidRDefault="007D1B27" w:rsidP="00C02717">
      <w:pPr>
        <w:spacing w:after="120" w:line="280" w:lineRule="exact"/>
        <w:ind w:left="426"/>
        <w:rPr>
          <w:rFonts w:ascii="Tahoma" w:hAnsi="Tahoma" w:cs="Tahoma"/>
          <w:sz w:val="20"/>
          <w:szCs w:val="20"/>
        </w:rPr>
      </w:pPr>
      <w:r>
        <w:rPr>
          <w:rFonts w:ascii="Tahoma" w:hAnsi="Tahoma" w:cs="Tahoma"/>
          <w:sz w:val="20"/>
          <w:szCs w:val="20"/>
        </w:rPr>
        <w:lastRenderedPageBreak/>
        <w:t xml:space="preserve">διαδικασίες ανάθεσης συμβάσεων </w:t>
      </w:r>
      <w:r w:rsidR="008573F7" w:rsidRPr="00981F58">
        <w:rPr>
          <w:rFonts w:ascii="Tahoma" w:hAnsi="Tahoma" w:cs="Tahoma"/>
          <w:sz w:val="20"/>
          <w:szCs w:val="20"/>
        </w:rPr>
        <w:t>που δεν εμπίπτουν στο πεδίο εφαρμογής των κοινοτικών οδηγιών και δεν έχουν ελεγχθεί πριν τη δημοσίευση της προκήρυξης του διαγωνισμού</w:t>
      </w:r>
      <w:r w:rsidR="001D744D">
        <w:rPr>
          <w:rFonts w:ascii="Tahoma" w:hAnsi="Tahoma" w:cs="Tahoma"/>
          <w:sz w:val="20"/>
          <w:szCs w:val="20"/>
        </w:rPr>
        <w:t xml:space="preserve">, </w:t>
      </w:r>
      <w:r w:rsidR="00E045C4">
        <w:rPr>
          <w:rFonts w:ascii="Tahoma" w:hAnsi="Tahoma" w:cs="Tahoma"/>
          <w:sz w:val="20"/>
          <w:szCs w:val="20"/>
        </w:rPr>
        <w:t xml:space="preserve">είτε </w:t>
      </w:r>
      <w:r w:rsidR="00E045C4" w:rsidRPr="00E045C4">
        <w:rPr>
          <w:rFonts w:ascii="Tahoma" w:hAnsi="Tahoma" w:cs="Tahoma"/>
          <w:sz w:val="20"/>
          <w:szCs w:val="20"/>
        </w:rPr>
        <w:t>λόγω του προϋπολογισμού τους</w:t>
      </w:r>
      <w:r w:rsidR="003C4EB4">
        <w:rPr>
          <w:rFonts w:ascii="Tahoma" w:hAnsi="Tahoma" w:cs="Tahoma"/>
          <w:sz w:val="20"/>
          <w:szCs w:val="20"/>
        </w:rPr>
        <w:t>,</w:t>
      </w:r>
      <w:r w:rsidR="00E045C4" w:rsidRPr="00E045C4">
        <w:rPr>
          <w:rFonts w:ascii="Tahoma" w:hAnsi="Tahoma" w:cs="Tahoma"/>
          <w:sz w:val="20"/>
          <w:szCs w:val="20"/>
        </w:rPr>
        <w:t xml:space="preserve"> είτε επειδή </w:t>
      </w:r>
      <w:r w:rsidR="001D744D">
        <w:rPr>
          <w:rFonts w:ascii="Tahoma" w:hAnsi="Tahoma" w:cs="Tahoma"/>
          <w:sz w:val="20"/>
          <w:szCs w:val="20"/>
        </w:rPr>
        <w:t>δεν είχαν προκύψει στο σχετικό δείγμα κατά την εφαρμογή της μεθόδου εκτίμησης επικινδυνότητας</w:t>
      </w:r>
      <w:r w:rsidR="00E045C4" w:rsidRPr="00E045C4">
        <w:rPr>
          <w:rFonts w:ascii="Tahoma" w:hAnsi="Tahoma" w:cs="Tahoma"/>
          <w:sz w:val="20"/>
          <w:szCs w:val="20"/>
        </w:rPr>
        <w:t>.</w:t>
      </w:r>
    </w:p>
    <w:p w:rsidR="006B518F" w:rsidRPr="003313EB" w:rsidRDefault="006B518F" w:rsidP="006B518F">
      <w:pPr>
        <w:widowControl w:val="0"/>
        <w:autoSpaceDE w:val="0"/>
        <w:autoSpaceDN w:val="0"/>
        <w:adjustRightInd w:val="0"/>
        <w:spacing w:before="240" w:after="120" w:line="280" w:lineRule="exact"/>
        <w:rPr>
          <w:rFonts w:ascii="Tahoma" w:hAnsi="Tahoma" w:cs="Tahoma"/>
          <w:i/>
          <w:color w:val="990000"/>
          <w:sz w:val="20"/>
          <w:szCs w:val="20"/>
        </w:rPr>
      </w:pPr>
      <w:r w:rsidRPr="003313EB">
        <w:rPr>
          <w:rFonts w:ascii="Tahoma" w:hAnsi="Tahoma" w:cs="Tahoma"/>
          <w:i/>
          <w:color w:val="990000"/>
          <w:sz w:val="20"/>
          <w:szCs w:val="20"/>
        </w:rPr>
        <w:t>Έργα με ίδια μέσα</w:t>
      </w:r>
    </w:p>
    <w:p w:rsidR="006B518F" w:rsidRPr="003313EB" w:rsidRDefault="006B518F" w:rsidP="006B518F">
      <w:pPr>
        <w:spacing w:after="120" w:line="280" w:lineRule="exact"/>
        <w:rPr>
          <w:rFonts w:ascii="Tahoma" w:hAnsi="Tahoma" w:cs="Tahoma"/>
          <w:color w:val="000000"/>
          <w:sz w:val="20"/>
          <w:szCs w:val="20"/>
        </w:rPr>
      </w:pPr>
      <w:r w:rsidRPr="007B2433">
        <w:rPr>
          <w:rFonts w:ascii="Tahoma" w:hAnsi="Tahoma" w:cs="Tahoma"/>
          <w:sz w:val="20"/>
          <w:szCs w:val="20"/>
        </w:rPr>
        <w:t xml:space="preserve">Τα υποέργα που υλοποιούνται με ίδια μέσα δεν μπορούν να περιλαμβάνουν αναθέσεις συμβάσεων άνω του ορίου </w:t>
      </w:r>
      <w:r w:rsidRPr="007B2433">
        <w:rPr>
          <w:rFonts w:ascii="Tahoma" w:hAnsi="Tahoma" w:cs="Tahoma"/>
          <w:color w:val="000000"/>
          <w:sz w:val="20"/>
          <w:szCs w:val="20"/>
        </w:rPr>
        <w:t>της παραγράφου 1, του άρθρου 133 του Ν 4270/2014 που ισχύει για τη διενέργεια διαγωνισμών με συνοπτική διαδικασία (πρόχειρος). Αναθέσεις άνω του ορίου αυτού θα πρέπει να αποτελούν διακριτά υποέργα.</w:t>
      </w:r>
    </w:p>
    <w:p w:rsidR="004861F5" w:rsidRDefault="004861F5" w:rsidP="00981F58">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981F58">
        <w:rPr>
          <w:rFonts w:ascii="Tahoma" w:hAnsi="Tahoma" w:cs="Tahoma"/>
          <w:b/>
          <w:bCs/>
          <w:color w:val="990000"/>
          <w:sz w:val="20"/>
          <w:szCs w:val="20"/>
        </w:rPr>
        <w:t xml:space="preserve">Εξέταση αιτήματος </w:t>
      </w:r>
      <w:r w:rsidR="006C5CE2" w:rsidRPr="00981F58">
        <w:rPr>
          <w:rFonts w:ascii="Tahoma" w:hAnsi="Tahoma" w:cs="Tahoma"/>
          <w:b/>
          <w:bCs/>
          <w:color w:val="990000"/>
          <w:sz w:val="20"/>
          <w:szCs w:val="20"/>
        </w:rPr>
        <w:t>και ενημέρωση Δικαιούχου</w:t>
      </w:r>
    </w:p>
    <w:p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Η ΔΑ/ΕΦ προβαίνει σε εξέταση του αιτήματος</w:t>
      </w:r>
      <w:r w:rsidR="00A307D1">
        <w:rPr>
          <w:rFonts w:ascii="Tahoma" w:hAnsi="Tahoma" w:cs="Tahoma"/>
          <w:sz w:val="20"/>
          <w:szCs w:val="20"/>
        </w:rPr>
        <w:t>,</w:t>
      </w:r>
      <w:r w:rsidRPr="00A307D1">
        <w:rPr>
          <w:rFonts w:ascii="Tahoma" w:hAnsi="Tahoma" w:cs="Tahoma"/>
          <w:sz w:val="20"/>
          <w:szCs w:val="20"/>
        </w:rPr>
        <w:t xml:space="preserve">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προκήρυξης. Η ΔΑ/ΕΦ διατυπώνει γνώμη, θετική ή αρνητική, επί της διαδικασίας </w:t>
      </w:r>
      <w:r w:rsidR="009A7889" w:rsidRPr="00A307D1">
        <w:rPr>
          <w:rFonts w:ascii="Tahoma" w:hAnsi="Tahoma" w:cs="Tahoma"/>
          <w:sz w:val="20"/>
          <w:szCs w:val="20"/>
        </w:rPr>
        <w:t>διακήρυξης</w:t>
      </w:r>
      <w:r w:rsidRPr="00A307D1">
        <w:rPr>
          <w:rFonts w:ascii="Tahoma" w:hAnsi="Tahoma" w:cs="Tahoma"/>
          <w:sz w:val="20"/>
          <w:szCs w:val="20"/>
        </w:rPr>
        <w:t xml:space="preserve">, εντός αποκλειστικής προθεσμίας είκοσι (20) εργάσιμων ημερών από την υποβολή του αιτήματος. Τα αποτελέσματα του ελέγχου που διενεργεί αποτυπώνονται στις αντίστοιχες κατά περίπτωση Λίστες ελέγχου διαδικασιών ανάθεσης στο ΟΠΣ. Σε περίπτωση άπρακτης παρέλευσης της εικοσαήμερης προθεσμίας, λογίζεται ότι η ΔΑ/ΕΦ έχει παράσχει θετική γνώμη.  </w:t>
      </w:r>
    </w:p>
    <w:p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 xml:space="preserve">Η θετική γνώμη της ΔΑ/ΕΦ ή η τεκμαιρόμενη θετική γνώμη αποτελεί όρο για τη χρηματοδότηση της πράξης. </w:t>
      </w:r>
    </w:p>
    <w:p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Στην περίπτωση αρνητικής γνώμης</w:t>
      </w:r>
      <w:r w:rsidR="00A307D1">
        <w:rPr>
          <w:rFonts w:ascii="Tahoma" w:hAnsi="Tahoma" w:cs="Tahoma"/>
          <w:sz w:val="20"/>
          <w:szCs w:val="20"/>
        </w:rPr>
        <w:t>,</w:t>
      </w:r>
      <w:r w:rsidRPr="00A307D1">
        <w:rPr>
          <w:rFonts w:ascii="Tahoma" w:hAnsi="Tahoma" w:cs="Tahoma"/>
          <w:sz w:val="20"/>
          <w:szCs w:val="20"/>
        </w:rPr>
        <w:t xml:space="preserve"> ο Δικαιούχος ενημερώνεται από τη ΔΑ/ΕΦ για τους λόγους απόρριψης, καθώς και για τις ενέργειες στις οποίες πρέπει να προβεί για την έκδοση θετικής γνώμης, εφόσον αυτό είναι εφικτό. </w:t>
      </w:r>
    </w:p>
    <w:p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Η γνώμη εγκρίνεται από τον Προϊστάμενο της ΔΑ/ΕΦ (</w:t>
      </w:r>
      <w:r w:rsidRPr="00A307D1">
        <w:rPr>
          <w:rFonts w:ascii="Tahoma" w:hAnsi="Tahoma" w:cs="Tahoma"/>
          <w:i/>
          <w:sz w:val="20"/>
          <w:szCs w:val="20"/>
        </w:rPr>
        <w:t>Ε.ΙΙ.2_1:</w:t>
      </w:r>
      <w:r w:rsidR="00632252" w:rsidRPr="00632252">
        <w:rPr>
          <w:rFonts w:ascii="Tahoma" w:hAnsi="Tahoma" w:cs="Tahoma"/>
          <w:i/>
          <w:sz w:val="20"/>
          <w:szCs w:val="20"/>
        </w:rPr>
        <w:t xml:space="preserve"> </w:t>
      </w:r>
      <w:r w:rsidRPr="00A307D1">
        <w:rPr>
          <w:rFonts w:ascii="Tahoma" w:hAnsi="Tahoma" w:cs="Tahoma"/>
          <w:i/>
          <w:sz w:val="20"/>
          <w:szCs w:val="20"/>
        </w:rPr>
        <w:t xml:space="preserve">Έγκριση Διακήρυξης). </w:t>
      </w:r>
      <w:r w:rsidRPr="00A307D1">
        <w:rPr>
          <w:rFonts w:ascii="Tahoma" w:hAnsi="Tahoma" w:cs="Tahoma"/>
          <w:sz w:val="20"/>
          <w:szCs w:val="20"/>
        </w:rPr>
        <w:t xml:space="preserve">Η έκδοση της θετικής ή αρνητικής γνώμης και η σχετική ενημέρωση του Δικαιούχου διενεργούνται μέσω του ΟΠΣ. </w:t>
      </w:r>
    </w:p>
    <w:p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Στο πλαίσιο αυτό διευκρινίζονται τα ακόλουθα:</w:t>
      </w:r>
    </w:p>
    <w:p w:rsidR="006B518F" w:rsidRPr="00503F62" w:rsidRDefault="006B518F" w:rsidP="003F7EA3">
      <w:pPr>
        <w:spacing w:after="120" w:line="280" w:lineRule="exact"/>
        <w:ind w:left="284" w:hanging="284"/>
        <w:rPr>
          <w:rFonts w:ascii="Tahoma" w:hAnsi="Tahoma" w:cs="Tahoma"/>
          <w:sz w:val="20"/>
          <w:szCs w:val="20"/>
        </w:rPr>
      </w:pPr>
      <w:r w:rsidRPr="00503F62">
        <w:rPr>
          <w:rFonts w:ascii="Tahoma" w:hAnsi="Tahoma" w:cs="Tahoma"/>
          <w:sz w:val="20"/>
          <w:szCs w:val="20"/>
        </w:rPr>
        <w:t xml:space="preserve">α) </w:t>
      </w:r>
      <w:r w:rsidR="00503F62">
        <w:rPr>
          <w:rFonts w:ascii="Tahoma" w:hAnsi="Tahoma" w:cs="Tahoma"/>
          <w:sz w:val="20"/>
          <w:szCs w:val="20"/>
        </w:rPr>
        <w:tab/>
      </w:r>
      <w:r w:rsidRPr="00503F62">
        <w:rPr>
          <w:rFonts w:ascii="Tahoma" w:hAnsi="Tahoma" w:cs="Tahoma"/>
          <w:sz w:val="20"/>
          <w:szCs w:val="20"/>
        </w:rPr>
        <w:t xml:space="preserve">Η </w:t>
      </w:r>
      <w:r w:rsidRPr="00503F62">
        <w:rPr>
          <w:rFonts w:ascii="Tahoma" w:hAnsi="Tahoma" w:cs="Tahoma"/>
          <w:color w:val="000000"/>
          <w:sz w:val="20"/>
          <w:szCs w:val="20"/>
        </w:rPr>
        <w:t xml:space="preserve">ΔΑ/ ΕΦ </w:t>
      </w:r>
      <w:r w:rsidRPr="00503F62">
        <w:rPr>
          <w:rFonts w:ascii="Tahoma" w:hAnsi="Tahoma" w:cs="Tahoma"/>
          <w:sz w:val="20"/>
          <w:szCs w:val="20"/>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άμεσα το Δικαιούχο μέσω ΟΠΣ για την υποχρέωση υποβολής των συμπληρωματικών στοιχείων εντός επτά (7) εργάσιμων ημερών. Το χρονικό διάστημα από την ενημέρωση του Δικαιούχου μέχρι την αποστολή από αυτόν των συμπληρωματικών στοιχείων δεν </w:t>
      </w:r>
      <w:proofErr w:type="spellStart"/>
      <w:r w:rsidRPr="00503F62">
        <w:rPr>
          <w:rFonts w:ascii="Tahoma" w:hAnsi="Tahoma" w:cs="Tahoma"/>
          <w:sz w:val="20"/>
          <w:szCs w:val="20"/>
        </w:rPr>
        <w:t>προσμετράται</w:t>
      </w:r>
      <w:proofErr w:type="spellEnd"/>
      <w:r w:rsidRPr="00503F62">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rsidR="00BD0199" w:rsidRPr="006B518F" w:rsidRDefault="00BD0199" w:rsidP="003F7EA3">
      <w:pPr>
        <w:pStyle w:val="ListParagraph"/>
        <w:spacing w:after="120" w:line="280" w:lineRule="exact"/>
        <w:ind w:left="284" w:hanging="284"/>
        <w:rPr>
          <w:rFonts w:ascii="Tahoma" w:hAnsi="Tahoma" w:cs="Tahoma"/>
          <w:sz w:val="20"/>
          <w:szCs w:val="20"/>
        </w:rPr>
      </w:pPr>
    </w:p>
    <w:p w:rsidR="006B518F" w:rsidRDefault="006B518F" w:rsidP="003F7EA3">
      <w:pPr>
        <w:pStyle w:val="ListParagraph"/>
        <w:spacing w:line="280" w:lineRule="exact"/>
        <w:ind w:left="284"/>
        <w:contextualSpacing w:val="0"/>
        <w:rPr>
          <w:rFonts w:ascii="Tahoma" w:hAnsi="Tahoma" w:cs="Tahoma"/>
          <w:sz w:val="20"/>
          <w:szCs w:val="20"/>
        </w:rPr>
      </w:pPr>
      <w:r w:rsidRPr="006B518F">
        <w:rPr>
          <w:rFonts w:ascii="Tahoma" w:hAnsi="Tahoma" w:cs="Tahoma"/>
          <w:sz w:val="20"/>
          <w:szCs w:val="20"/>
        </w:rPr>
        <w:t xml:space="preserve">Όσον αφορά στην υποβολή των συμπληρωματικών στοιχείων,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rsidR="003F7EA3" w:rsidRPr="003F7EA3" w:rsidRDefault="003F7EA3" w:rsidP="003F7EA3">
      <w:pPr>
        <w:pStyle w:val="ListParagraph"/>
        <w:spacing w:after="120" w:line="280" w:lineRule="exact"/>
        <w:ind w:left="284" w:hanging="284"/>
        <w:rPr>
          <w:rFonts w:ascii="Tahoma" w:hAnsi="Tahoma" w:cs="Tahoma"/>
          <w:sz w:val="20"/>
          <w:szCs w:val="20"/>
        </w:rPr>
      </w:pPr>
    </w:p>
    <w:p w:rsidR="006B518F" w:rsidRPr="006B518F" w:rsidRDefault="006B518F" w:rsidP="003F7EA3">
      <w:pPr>
        <w:pStyle w:val="ListParagraph"/>
        <w:spacing w:before="0" w:after="120" w:line="280" w:lineRule="exact"/>
        <w:ind w:left="284"/>
        <w:contextualSpacing w:val="0"/>
        <w:rPr>
          <w:rFonts w:ascii="Tahoma" w:hAnsi="Tahoma" w:cs="Tahoma"/>
          <w:sz w:val="20"/>
          <w:szCs w:val="20"/>
        </w:rPr>
      </w:pPr>
      <w:r w:rsidRPr="006B518F">
        <w:rPr>
          <w:rFonts w:ascii="Tahoma" w:hAnsi="Tahoma" w:cs="Tahoma"/>
          <w:sz w:val="20"/>
          <w:szCs w:val="20"/>
        </w:rPr>
        <w:t>Ο Δικαιούχος έχει τη δυνατότητα υποβολής νέου αιτήματος, το οποίο συνεπάγεται την έναρξη νέας εικοσαήμερης προθεσμίας για τη ΔΑ/ΕΦ.</w:t>
      </w:r>
    </w:p>
    <w:p w:rsidR="006B518F" w:rsidRPr="006B518F" w:rsidRDefault="006B518F" w:rsidP="00BF3E57">
      <w:pPr>
        <w:pStyle w:val="ListParagraph"/>
        <w:spacing w:after="120" w:line="280" w:lineRule="exact"/>
        <w:ind w:left="360"/>
        <w:rPr>
          <w:rFonts w:ascii="Tahoma" w:hAnsi="Tahoma" w:cs="Tahoma"/>
          <w:sz w:val="20"/>
          <w:szCs w:val="20"/>
        </w:rPr>
      </w:pPr>
    </w:p>
    <w:p w:rsidR="006B518F" w:rsidRDefault="006B518F" w:rsidP="003F7EA3">
      <w:pPr>
        <w:spacing w:after="120" w:line="280" w:lineRule="exact"/>
        <w:ind w:left="284" w:hanging="284"/>
        <w:rPr>
          <w:rFonts w:ascii="Tahoma" w:hAnsi="Tahoma" w:cs="Tahoma"/>
          <w:sz w:val="20"/>
          <w:szCs w:val="20"/>
        </w:rPr>
      </w:pPr>
      <w:r w:rsidRPr="00503F62">
        <w:rPr>
          <w:rFonts w:ascii="Tahoma" w:hAnsi="Tahoma" w:cs="Tahoma"/>
          <w:sz w:val="20"/>
          <w:szCs w:val="20"/>
        </w:rPr>
        <w:t>β)</w:t>
      </w:r>
      <w:r w:rsidR="003F7EA3" w:rsidRPr="003F7EA3">
        <w:rPr>
          <w:rFonts w:ascii="Tahoma" w:hAnsi="Tahoma" w:cs="Tahoma"/>
          <w:sz w:val="20"/>
          <w:szCs w:val="20"/>
        </w:rPr>
        <w:tab/>
      </w:r>
      <w:r w:rsidRPr="006B518F">
        <w:rPr>
          <w:rFonts w:ascii="Tahoma" w:hAnsi="Tahoma" w:cs="Tahoma"/>
          <w:sz w:val="20"/>
          <w:szCs w:val="20"/>
        </w:rPr>
        <w:t xml:space="preserve">Εφόσον ο Δικαιούχος υποβάλλει πλήρη στοιχεία και έγγραφα και η ΔΑ/ΕΦ, διενεργώντας το σχετικό έλεγχο, διαπιστώσει ότι χρήζουν διορθώσεων/αλλαγών κ.λπ. ή υπάρχουν ζητήματα επί της διαδικασίας ανάθεσης ή/και του σχεδίου </w:t>
      </w:r>
      <w:r w:rsidR="00BD0199">
        <w:rPr>
          <w:rFonts w:ascii="Tahoma" w:hAnsi="Tahoma" w:cs="Tahoma"/>
          <w:sz w:val="20"/>
          <w:szCs w:val="20"/>
        </w:rPr>
        <w:t>της διακήρυξης</w:t>
      </w:r>
      <w:r w:rsidRPr="006B518F">
        <w:rPr>
          <w:rFonts w:ascii="Tahoma" w:hAnsi="Tahoma" w:cs="Tahoma"/>
          <w:sz w:val="20"/>
          <w:szCs w:val="20"/>
        </w:rPr>
        <w:t xml:space="preserve">, ειδοποιεί άμεσα το Δικαιούχο για αυτά και επιστρέφει το σχετικό φάκελο για υιοθέτηση από αυτόν των προτεινόμενων διορθώσεων/αλλαγών κ.λπ. και την εκ νέου υποβολή του εντός επτά (7) εργάσιμων ημερών. Το χρονικό διάστημα από την ενημέρωση του Δικαιούχου μέχρι την </w:t>
      </w:r>
      <w:proofErr w:type="spellStart"/>
      <w:r w:rsidRPr="006B518F">
        <w:rPr>
          <w:rFonts w:ascii="Tahoma" w:hAnsi="Tahoma" w:cs="Tahoma"/>
          <w:sz w:val="20"/>
          <w:szCs w:val="20"/>
        </w:rPr>
        <w:t>επανυποβολή</w:t>
      </w:r>
      <w:proofErr w:type="spellEnd"/>
      <w:r w:rsidRPr="006B518F">
        <w:rPr>
          <w:rFonts w:ascii="Tahoma" w:hAnsi="Tahoma" w:cs="Tahoma"/>
          <w:sz w:val="20"/>
          <w:szCs w:val="20"/>
        </w:rPr>
        <w:t xml:space="preserve"> από αυτόν του φακέλου δεν </w:t>
      </w:r>
      <w:proofErr w:type="spellStart"/>
      <w:r w:rsidRPr="006B518F">
        <w:rPr>
          <w:rFonts w:ascii="Tahoma" w:hAnsi="Tahoma" w:cs="Tahoma"/>
          <w:sz w:val="20"/>
          <w:szCs w:val="20"/>
        </w:rPr>
        <w:t>προσμετράται</w:t>
      </w:r>
      <w:proofErr w:type="spellEnd"/>
      <w:r w:rsidRPr="006B518F">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rsidR="006B518F" w:rsidRPr="00503F62" w:rsidRDefault="006B518F" w:rsidP="003F7EA3">
      <w:pPr>
        <w:spacing w:after="120" w:line="280" w:lineRule="exact"/>
        <w:ind w:left="284"/>
        <w:rPr>
          <w:rFonts w:ascii="Tahoma" w:hAnsi="Tahoma" w:cs="Tahoma"/>
          <w:sz w:val="20"/>
          <w:szCs w:val="20"/>
        </w:rPr>
      </w:pPr>
      <w:r w:rsidRPr="00503F62">
        <w:rPr>
          <w:rFonts w:ascii="Tahoma" w:hAnsi="Tahoma" w:cs="Tahoma"/>
          <w:sz w:val="20"/>
          <w:szCs w:val="20"/>
        </w:rPr>
        <w:t xml:space="preserve">Όσον αφορά στην </w:t>
      </w:r>
      <w:proofErr w:type="spellStart"/>
      <w:r w:rsidRPr="00503F62">
        <w:rPr>
          <w:rFonts w:ascii="Tahoma" w:hAnsi="Tahoma" w:cs="Tahoma"/>
          <w:sz w:val="20"/>
          <w:szCs w:val="20"/>
        </w:rPr>
        <w:t>επανυποβολη</w:t>
      </w:r>
      <w:proofErr w:type="spellEnd"/>
      <w:r w:rsidRPr="00503F62">
        <w:rPr>
          <w:rFonts w:ascii="Tahoma" w:hAnsi="Tahoma" w:cs="Tahoma"/>
          <w:sz w:val="20"/>
          <w:szCs w:val="20"/>
        </w:rPr>
        <w:t xml:space="preserve"> του φακέλου,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rsidR="006B518F" w:rsidRPr="006B518F" w:rsidRDefault="006B518F" w:rsidP="003F7EA3">
      <w:pPr>
        <w:pStyle w:val="ListParagraph"/>
        <w:spacing w:before="0" w:after="120" w:line="280" w:lineRule="exact"/>
        <w:ind w:left="284"/>
        <w:contextualSpacing w:val="0"/>
        <w:rPr>
          <w:rFonts w:ascii="Tahoma" w:hAnsi="Tahoma" w:cs="Tahoma"/>
          <w:sz w:val="20"/>
          <w:szCs w:val="20"/>
        </w:rPr>
      </w:pPr>
      <w:r w:rsidRPr="006B518F">
        <w:rPr>
          <w:rFonts w:ascii="Tahoma" w:hAnsi="Tahoma" w:cs="Tahoma"/>
          <w:sz w:val="20"/>
          <w:szCs w:val="20"/>
        </w:rPr>
        <w:t>Ο Δικαιούχος έχει τη δυνατότητα υποβολής νέου αιτήματος, το οποίο συνεπάγεται την έναρξη νέας εικοσαήμερης προθεσμίας για τη ΔΑ/ΕΦ.</w:t>
      </w:r>
    </w:p>
    <w:p w:rsidR="006C5CE2" w:rsidRPr="00981F58" w:rsidRDefault="0046289F" w:rsidP="00981F58">
      <w:pPr>
        <w:keepNext/>
        <w:spacing w:before="240" w:after="120" w:line="280" w:lineRule="exact"/>
        <w:ind w:left="357" w:hanging="357"/>
        <w:rPr>
          <w:rFonts w:ascii="Tahoma" w:hAnsi="Tahoma" w:cs="Tahoma"/>
          <w:b/>
          <w:i/>
          <w:color w:val="990000"/>
          <w:sz w:val="20"/>
          <w:szCs w:val="20"/>
        </w:rPr>
      </w:pPr>
      <w:r w:rsidRPr="00981F58">
        <w:rPr>
          <w:rFonts w:ascii="Tahoma" w:hAnsi="Tahoma" w:cs="Tahoma"/>
          <w:b/>
          <w:i/>
          <w:color w:val="990000"/>
          <w:sz w:val="20"/>
          <w:szCs w:val="20"/>
        </w:rPr>
        <w:t>Παρατηρήσεις:</w:t>
      </w:r>
    </w:p>
    <w:p w:rsidR="00F75F7C" w:rsidRPr="00981F58" w:rsidRDefault="00F75F7C" w:rsidP="00981F58">
      <w:pPr>
        <w:spacing w:after="120" w:line="280" w:lineRule="exact"/>
        <w:rPr>
          <w:rFonts w:ascii="Tahoma" w:hAnsi="Tahoma" w:cs="Tahoma"/>
          <w:sz w:val="20"/>
          <w:szCs w:val="20"/>
        </w:rPr>
      </w:pPr>
      <w:r w:rsidRPr="00981F58">
        <w:rPr>
          <w:rFonts w:ascii="Tahoma" w:hAnsi="Tahoma" w:cs="Tahoma"/>
          <w:sz w:val="20"/>
          <w:szCs w:val="20"/>
        </w:rPr>
        <w:t xml:space="preserve">Στις περιπτώσεις που ο έλεγχος της </w:t>
      </w:r>
      <w:r w:rsidR="0041432C" w:rsidRPr="00981F58">
        <w:rPr>
          <w:rFonts w:ascii="Tahoma" w:hAnsi="Tahoma" w:cs="Tahoma"/>
          <w:sz w:val="20"/>
          <w:szCs w:val="20"/>
        </w:rPr>
        <w:t>διαδικασίας</w:t>
      </w:r>
      <w:r w:rsidR="0041432C">
        <w:rPr>
          <w:rFonts w:ascii="Tahoma" w:hAnsi="Tahoma" w:cs="Tahoma"/>
          <w:sz w:val="20"/>
          <w:szCs w:val="20"/>
        </w:rPr>
        <w:t xml:space="preserve"> ελέγχου της </w:t>
      </w:r>
      <w:r w:rsidRPr="00981F58">
        <w:rPr>
          <w:rFonts w:ascii="Tahoma" w:hAnsi="Tahoma" w:cs="Tahoma"/>
          <w:sz w:val="20"/>
          <w:szCs w:val="20"/>
        </w:rPr>
        <w:t>δ</w:t>
      </w:r>
      <w:r w:rsidR="0041432C">
        <w:rPr>
          <w:rFonts w:ascii="Tahoma" w:hAnsi="Tahoma" w:cs="Tahoma"/>
          <w:sz w:val="20"/>
          <w:szCs w:val="20"/>
        </w:rPr>
        <w:t xml:space="preserve">ιακήρυξης </w:t>
      </w:r>
      <w:r w:rsidRPr="00981F58">
        <w:rPr>
          <w:rFonts w:ascii="Tahoma" w:hAnsi="Tahoma" w:cs="Tahoma"/>
          <w:sz w:val="20"/>
          <w:szCs w:val="20"/>
        </w:rPr>
        <w:t xml:space="preserve">διενεργείται κατά την πρώτη Δήλωση Δαπάνης του Δικαιούχου, αν ως αποτέλεσμα του ελέγχου εντοπιστεί παρατυπία, στη διατύπωση γνώμης καθορίζεται και το ποσοστό κατ’ αποκοπή διόρθωσης και στη συνέχεια ενεργοποιούνται τα αντίστοιχα βήματα της </w:t>
      </w:r>
      <w:r w:rsidRPr="0041432C">
        <w:rPr>
          <w:rFonts w:ascii="Tahoma" w:hAnsi="Tahoma" w:cs="Tahoma"/>
          <w:i/>
          <w:sz w:val="20"/>
          <w:szCs w:val="20"/>
        </w:rPr>
        <w:t>Διαδικασίας ΔΙΙ_5: Διοικητική επαλήθευση.</w:t>
      </w:r>
    </w:p>
    <w:p w:rsidR="00AA7144" w:rsidRDefault="004861F5" w:rsidP="00981F58">
      <w:pPr>
        <w:spacing w:after="120" w:line="280" w:lineRule="exact"/>
        <w:rPr>
          <w:rFonts w:ascii="Tahoma" w:hAnsi="Tahoma" w:cs="Tahoma"/>
          <w:sz w:val="20"/>
          <w:szCs w:val="20"/>
        </w:rPr>
      </w:pPr>
      <w:r w:rsidRPr="00981F58">
        <w:rPr>
          <w:rFonts w:ascii="Tahoma" w:hAnsi="Tahoma" w:cs="Tahoma"/>
          <w:sz w:val="20"/>
          <w:szCs w:val="20"/>
        </w:rPr>
        <w:t xml:space="preserve">Για τις δημόσιες συμβάσεις που κατά τη φάση ένταξης της πράξης έχει ήδη δημοσιευτεί η σχετική προκήρυξη, η εξέταση της διαδικασίας </w:t>
      </w:r>
      <w:r w:rsidR="009D4724">
        <w:rPr>
          <w:rFonts w:ascii="Tahoma" w:hAnsi="Tahoma" w:cs="Tahoma"/>
          <w:sz w:val="20"/>
          <w:szCs w:val="20"/>
        </w:rPr>
        <w:t xml:space="preserve">ελέγχου </w:t>
      </w:r>
      <w:r w:rsidR="00023902" w:rsidRPr="00981F58">
        <w:rPr>
          <w:rFonts w:ascii="Tahoma" w:hAnsi="Tahoma" w:cs="Tahoma"/>
          <w:sz w:val="20"/>
          <w:szCs w:val="20"/>
        </w:rPr>
        <w:t xml:space="preserve">της </w:t>
      </w:r>
      <w:r w:rsidR="003163F7" w:rsidRPr="00981F58">
        <w:rPr>
          <w:rFonts w:ascii="Tahoma" w:hAnsi="Tahoma" w:cs="Tahoma"/>
          <w:sz w:val="20"/>
          <w:szCs w:val="20"/>
        </w:rPr>
        <w:t>διακήρυξης</w:t>
      </w:r>
      <w:r w:rsidR="003069C4" w:rsidRPr="003069C4">
        <w:rPr>
          <w:rFonts w:ascii="Tahoma" w:hAnsi="Tahoma" w:cs="Tahoma"/>
          <w:sz w:val="20"/>
          <w:szCs w:val="20"/>
        </w:rPr>
        <w:t xml:space="preserve"> </w:t>
      </w:r>
      <w:bookmarkStart w:id="4" w:name="_GoBack"/>
      <w:bookmarkEnd w:id="4"/>
      <w:r w:rsidR="009D4724">
        <w:rPr>
          <w:rFonts w:ascii="Tahoma" w:hAnsi="Tahoma" w:cs="Tahoma"/>
          <w:sz w:val="20"/>
          <w:szCs w:val="20"/>
        </w:rPr>
        <w:t>δ</w:t>
      </w:r>
      <w:r w:rsidRPr="00981F58">
        <w:rPr>
          <w:rFonts w:ascii="Tahoma" w:hAnsi="Tahoma" w:cs="Tahoma"/>
          <w:sz w:val="20"/>
          <w:szCs w:val="20"/>
        </w:rPr>
        <w:t>ιενεργείται κατά την αξιολόγηση του αιτήματος χρηματοδότησης</w:t>
      </w:r>
      <w:r w:rsidR="0041432C">
        <w:rPr>
          <w:rFonts w:ascii="Tahoma" w:hAnsi="Tahoma" w:cs="Tahoma"/>
          <w:sz w:val="20"/>
          <w:szCs w:val="20"/>
        </w:rPr>
        <w:t xml:space="preserve"> και εκδίδεται σχετική απόφαση έγκρισης ή απόρριψης</w:t>
      </w:r>
      <w:r w:rsidR="009D4724">
        <w:rPr>
          <w:rFonts w:ascii="Tahoma" w:hAnsi="Tahoma" w:cs="Tahoma"/>
          <w:sz w:val="20"/>
          <w:szCs w:val="20"/>
        </w:rPr>
        <w:t xml:space="preserve"> της διαδικασίας διακήρυξης</w:t>
      </w:r>
      <w:r w:rsidR="0041432C">
        <w:rPr>
          <w:rFonts w:ascii="Tahoma" w:hAnsi="Tahoma" w:cs="Tahoma"/>
          <w:sz w:val="20"/>
          <w:szCs w:val="20"/>
        </w:rPr>
        <w:t>.</w:t>
      </w:r>
    </w:p>
    <w:p w:rsidR="00744E49" w:rsidRPr="00981F58" w:rsidRDefault="0095136E"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5</w:t>
      </w:r>
      <w:r w:rsidR="00931437" w:rsidRPr="00981F58">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AA7144" w:rsidRPr="00232DA9" w:rsidTr="00764A4A">
        <w:trPr>
          <w:tblHeader/>
          <w:jc w:val="center"/>
        </w:trPr>
        <w:tc>
          <w:tcPr>
            <w:tcW w:w="1351" w:type="dxa"/>
            <w:tcBorders>
              <w:top w:val="nil"/>
              <w:left w:val="nil"/>
              <w:bottom w:val="single" w:sz="4" w:space="0" w:color="auto"/>
              <w:right w:val="nil"/>
            </w:tcBorders>
            <w:vAlign w:val="center"/>
            <w:hideMark/>
          </w:tcPr>
          <w:p w:rsidR="00AA7144" w:rsidRPr="00764A4A" w:rsidRDefault="00AA7144" w:rsidP="00981F58">
            <w:pPr>
              <w:overflowPunct w:val="0"/>
              <w:autoSpaceDE w:val="0"/>
              <w:autoSpaceDN w:val="0"/>
              <w:adjustRightInd w:val="0"/>
              <w:spacing w:after="120" w:line="280" w:lineRule="exact"/>
              <w:jc w:val="left"/>
              <w:rPr>
                <w:rFonts w:ascii="Tahoma" w:hAnsi="Tahoma" w:cs="Tahoma"/>
                <w:b/>
                <w:sz w:val="18"/>
                <w:szCs w:val="18"/>
                <w:lang w:eastAsia="en-US"/>
              </w:rPr>
            </w:pPr>
            <w:r w:rsidRPr="00764A4A">
              <w:rPr>
                <w:rFonts w:ascii="Tahoma" w:hAnsi="Tahoma" w:cs="Tahoma"/>
                <w:b/>
                <w:sz w:val="18"/>
                <w:szCs w:val="18"/>
                <w:lang w:eastAsia="en-US"/>
              </w:rPr>
              <w:t>Κωδικός</w:t>
            </w:r>
          </w:p>
        </w:tc>
        <w:tc>
          <w:tcPr>
            <w:tcW w:w="6962" w:type="dxa"/>
            <w:tcBorders>
              <w:top w:val="nil"/>
              <w:left w:val="nil"/>
              <w:bottom w:val="single" w:sz="4" w:space="0" w:color="auto"/>
              <w:right w:val="nil"/>
            </w:tcBorders>
            <w:hideMark/>
          </w:tcPr>
          <w:p w:rsidR="00AA7144" w:rsidRPr="00764A4A" w:rsidRDefault="00AA7144" w:rsidP="00981F58">
            <w:pPr>
              <w:overflowPunct w:val="0"/>
              <w:autoSpaceDE w:val="0"/>
              <w:autoSpaceDN w:val="0"/>
              <w:adjustRightInd w:val="0"/>
              <w:spacing w:after="120" w:line="280" w:lineRule="exact"/>
              <w:jc w:val="left"/>
              <w:rPr>
                <w:rFonts w:ascii="Tahoma" w:hAnsi="Tahoma" w:cs="Tahoma"/>
                <w:b/>
                <w:sz w:val="18"/>
                <w:szCs w:val="18"/>
                <w:lang w:eastAsia="en-US"/>
              </w:rPr>
            </w:pPr>
            <w:r w:rsidRPr="00764A4A">
              <w:rPr>
                <w:rFonts w:ascii="Tahoma" w:hAnsi="Tahoma" w:cs="Tahoma"/>
                <w:b/>
                <w:sz w:val="18"/>
                <w:szCs w:val="18"/>
                <w:lang w:eastAsia="en-US"/>
              </w:rPr>
              <w:t>Περιγραφή</w:t>
            </w:r>
          </w:p>
        </w:tc>
      </w:tr>
      <w:tr w:rsidR="00764A4A" w:rsidRPr="00872188" w:rsidTr="00764A4A">
        <w:trPr>
          <w:jc w:val="center"/>
        </w:trPr>
        <w:tc>
          <w:tcPr>
            <w:tcW w:w="1351" w:type="dxa"/>
            <w:tcBorders>
              <w:top w:val="single"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Ε.ΙΙ.2_1</w:t>
            </w:r>
          </w:p>
        </w:tc>
        <w:tc>
          <w:tcPr>
            <w:tcW w:w="6962" w:type="dxa"/>
            <w:tcBorders>
              <w:top w:val="single"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Έγκριση διακήρυξης</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Λ.ΙΙ.2_1</w:t>
            </w:r>
          </w:p>
        </w:tc>
        <w:tc>
          <w:tcPr>
            <w:tcW w:w="6962"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Λίστα Ελέγχου διακήρυξης έργων (που εμπίπτουν στο πεδίο εφαρμογής των κοινοτικών οδηγιών της ΕΕ &amp; ΠΔ 60/2007 - Αναθέτουσες Αρχές)</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Ο_Λ.ΙΙ.2_1</w:t>
            </w:r>
          </w:p>
        </w:tc>
        <w:tc>
          <w:tcPr>
            <w:tcW w:w="6962"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Οδηγίες Συμπλήρωσης της Λίστας Ελέγχου Λ.ΙΙ.2_1</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Λ.ΙΙ.2_2</w:t>
            </w:r>
          </w:p>
        </w:tc>
        <w:tc>
          <w:tcPr>
            <w:tcW w:w="6962" w:type="dxa"/>
            <w:tcBorders>
              <w:top w:val="dotted" w:sz="4" w:space="0" w:color="auto"/>
              <w:left w:val="nil"/>
              <w:bottom w:val="dotted" w:sz="4" w:space="0" w:color="auto"/>
              <w:right w:val="nil"/>
            </w:tcBorders>
            <w:vAlign w:val="center"/>
          </w:tcPr>
          <w:p w:rsidR="00764A4A" w:rsidRPr="00431CE6" w:rsidRDefault="00764A4A" w:rsidP="00764A4A">
            <w:pPr>
              <w:spacing w:before="60" w:after="60" w:line="280" w:lineRule="exact"/>
              <w:jc w:val="left"/>
              <w:rPr>
                <w:rFonts w:ascii="Tahoma" w:hAnsi="Tahoma" w:cs="Tahoma"/>
                <w:sz w:val="18"/>
                <w:szCs w:val="18"/>
              </w:rPr>
            </w:pPr>
            <w:r w:rsidRPr="00431CE6">
              <w:rPr>
                <w:rFonts w:ascii="Tahoma" w:hAnsi="Tahoma" w:cs="Tahoma"/>
                <w:sz w:val="18"/>
                <w:szCs w:val="18"/>
              </w:rPr>
              <w:t>Λίστα Ελέγχου διακήρυξης προμηθειών &amp; υπηρεσιών (που εμπίπτουν στο πεδίο εφαρμογής των οδηγιών της ΕΕ)</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Ο_Λ.ΙΙ.2_2</w:t>
            </w:r>
          </w:p>
        </w:tc>
        <w:tc>
          <w:tcPr>
            <w:tcW w:w="6962" w:type="dxa"/>
            <w:tcBorders>
              <w:top w:val="dotted" w:sz="4" w:space="0" w:color="auto"/>
              <w:left w:val="nil"/>
              <w:bottom w:val="dotted" w:sz="4" w:space="0" w:color="auto"/>
              <w:right w:val="nil"/>
            </w:tcBorders>
            <w:vAlign w:val="center"/>
          </w:tcPr>
          <w:p w:rsidR="00764A4A" w:rsidRPr="00431CE6" w:rsidRDefault="00764A4A" w:rsidP="00764A4A">
            <w:pPr>
              <w:spacing w:before="60" w:after="60" w:line="280" w:lineRule="exact"/>
              <w:jc w:val="left"/>
              <w:rPr>
                <w:rFonts w:ascii="Tahoma" w:hAnsi="Tahoma" w:cs="Tahoma"/>
                <w:sz w:val="18"/>
                <w:szCs w:val="18"/>
              </w:rPr>
            </w:pPr>
            <w:r w:rsidRPr="00431CE6">
              <w:rPr>
                <w:rFonts w:ascii="Tahoma" w:hAnsi="Tahoma" w:cs="Tahoma"/>
                <w:sz w:val="18"/>
                <w:szCs w:val="18"/>
              </w:rPr>
              <w:t>Οδηγίες Συμπλήρωσης της Λίστας Ελέγχου Λ.ΙΙ.2_2</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Λ.ΙΙ.2_3</w:t>
            </w:r>
          </w:p>
        </w:tc>
        <w:tc>
          <w:tcPr>
            <w:tcW w:w="6962" w:type="dxa"/>
            <w:tcBorders>
              <w:top w:val="dotted" w:sz="4" w:space="0" w:color="auto"/>
              <w:left w:val="nil"/>
              <w:bottom w:val="dotted" w:sz="4" w:space="0" w:color="auto"/>
              <w:right w:val="nil"/>
            </w:tcBorders>
            <w:vAlign w:val="center"/>
          </w:tcPr>
          <w:p w:rsidR="00764A4A" w:rsidRPr="00431CE6" w:rsidRDefault="00764A4A" w:rsidP="00764A4A">
            <w:pPr>
              <w:spacing w:before="60" w:after="60" w:line="280" w:lineRule="exact"/>
              <w:jc w:val="left"/>
              <w:rPr>
                <w:rFonts w:ascii="Tahoma" w:hAnsi="Tahoma" w:cs="Tahoma"/>
                <w:sz w:val="18"/>
                <w:szCs w:val="18"/>
              </w:rPr>
            </w:pPr>
            <w:r w:rsidRPr="00431CE6">
              <w:rPr>
                <w:rFonts w:ascii="Tahoma" w:hAnsi="Tahoma" w:cs="Tahoma"/>
                <w:sz w:val="18"/>
                <w:szCs w:val="18"/>
              </w:rPr>
              <w:t>Λίστα Ελέγχου διακήρυξης έργων (που εμπίπτουν στο πεδίο εφαρμογής των κοινοτικών οδηγιών της ΕΕ &amp; ΠΔ 59/2007- Αναθέτοντες Φορείς)</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Ο_Λ.ΙΙ.2_3</w:t>
            </w:r>
          </w:p>
        </w:tc>
        <w:tc>
          <w:tcPr>
            <w:tcW w:w="6962" w:type="dxa"/>
            <w:tcBorders>
              <w:top w:val="dotted" w:sz="4" w:space="0" w:color="auto"/>
              <w:left w:val="nil"/>
              <w:bottom w:val="dotted" w:sz="4" w:space="0" w:color="auto"/>
              <w:right w:val="nil"/>
            </w:tcBorders>
            <w:vAlign w:val="center"/>
          </w:tcPr>
          <w:p w:rsidR="00764A4A" w:rsidRPr="00431CE6" w:rsidRDefault="00764A4A" w:rsidP="00764A4A">
            <w:pPr>
              <w:spacing w:before="60" w:after="60" w:line="280" w:lineRule="exact"/>
              <w:jc w:val="left"/>
              <w:rPr>
                <w:rFonts w:ascii="Tahoma" w:hAnsi="Tahoma" w:cs="Tahoma"/>
                <w:sz w:val="18"/>
                <w:szCs w:val="18"/>
              </w:rPr>
            </w:pPr>
            <w:r w:rsidRPr="00431CE6">
              <w:rPr>
                <w:rFonts w:ascii="Tahoma" w:hAnsi="Tahoma" w:cs="Tahoma"/>
                <w:sz w:val="18"/>
                <w:szCs w:val="18"/>
              </w:rPr>
              <w:t>Οδηγίες Συμπλήρωσης της Λίστας Ελέγχου Λ.ΙΙ.2_3</w:t>
            </w:r>
          </w:p>
        </w:tc>
      </w:tr>
      <w:tr w:rsidR="00764A4A" w:rsidRPr="00872188" w:rsidTr="00764A4A">
        <w:trPr>
          <w:jc w:val="center"/>
        </w:trPr>
        <w:tc>
          <w:tcPr>
            <w:tcW w:w="1351" w:type="dxa"/>
            <w:tcBorders>
              <w:top w:val="dotted" w:sz="4" w:space="0" w:color="auto"/>
              <w:left w:val="nil"/>
              <w:bottom w:val="dotted"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Λ.ΙΙ.2_4</w:t>
            </w:r>
          </w:p>
        </w:tc>
        <w:tc>
          <w:tcPr>
            <w:tcW w:w="6962" w:type="dxa"/>
            <w:tcBorders>
              <w:top w:val="dotted" w:sz="4" w:space="0" w:color="auto"/>
              <w:left w:val="nil"/>
              <w:bottom w:val="dotted" w:sz="4" w:space="0" w:color="auto"/>
              <w:right w:val="nil"/>
            </w:tcBorders>
            <w:vAlign w:val="center"/>
          </w:tcPr>
          <w:p w:rsidR="00764A4A" w:rsidRPr="00431CE6" w:rsidRDefault="00764A4A" w:rsidP="005E142E">
            <w:pPr>
              <w:spacing w:before="60" w:after="60" w:line="280" w:lineRule="exact"/>
              <w:jc w:val="left"/>
              <w:rPr>
                <w:rFonts w:ascii="Tahoma" w:hAnsi="Tahoma" w:cs="Tahoma"/>
                <w:sz w:val="18"/>
                <w:szCs w:val="18"/>
              </w:rPr>
            </w:pPr>
            <w:r w:rsidRPr="00431CE6">
              <w:rPr>
                <w:rFonts w:ascii="Tahoma" w:hAnsi="Tahoma" w:cs="Tahoma"/>
                <w:sz w:val="18"/>
                <w:szCs w:val="18"/>
              </w:rPr>
              <w:t>Λίστα Ελέγχου διακήρυξης προμηθειών, υπηρεσιών που δεν εμπίπτουν στο πεδίο εφαρμογής των οδηγιών της ΕΕ</w:t>
            </w:r>
          </w:p>
        </w:tc>
      </w:tr>
      <w:tr w:rsidR="00764A4A" w:rsidRPr="00872188" w:rsidTr="00764A4A">
        <w:trPr>
          <w:jc w:val="center"/>
        </w:trPr>
        <w:tc>
          <w:tcPr>
            <w:tcW w:w="1351" w:type="dxa"/>
            <w:tcBorders>
              <w:top w:val="dotted" w:sz="4" w:space="0" w:color="auto"/>
              <w:left w:val="nil"/>
              <w:bottom w:val="single"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Ο_Λ.ΙΙ.2_4</w:t>
            </w:r>
          </w:p>
        </w:tc>
        <w:tc>
          <w:tcPr>
            <w:tcW w:w="6962" w:type="dxa"/>
            <w:tcBorders>
              <w:top w:val="dotted" w:sz="4" w:space="0" w:color="auto"/>
              <w:left w:val="nil"/>
              <w:bottom w:val="single" w:sz="4" w:space="0" w:color="auto"/>
              <w:right w:val="nil"/>
            </w:tcBorders>
            <w:vAlign w:val="center"/>
          </w:tcPr>
          <w:p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Οδηγίες Συμπλήρωσης της Λίστας Ελέγχου Λ.ΙΙ.2_4</w:t>
            </w:r>
          </w:p>
        </w:tc>
      </w:tr>
    </w:tbl>
    <w:p w:rsidR="00764A4A" w:rsidRPr="00981F58" w:rsidRDefault="00764A4A" w:rsidP="00981F58">
      <w:pPr>
        <w:spacing w:after="120" w:line="280" w:lineRule="exact"/>
        <w:rPr>
          <w:rFonts w:ascii="Tahoma" w:hAnsi="Tahoma" w:cs="Tahoma"/>
          <w:sz w:val="20"/>
          <w:szCs w:val="20"/>
        </w:rPr>
      </w:pPr>
    </w:p>
    <w:p w:rsidR="00E9241D" w:rsidRPr="00981F58" w:rsidRDefault="00650F31"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6. Διάγραμμα ροής</w:t>
      </w:r>
    </w:p>
    <w:sectPr w:rsidR="00E9241D" w:rsidRPr="00981F58" w:rsidSect="00CE108D">
      <w:footerReference w:type="default" r:id="rId8"/>
      <w:pgSz w:w="11906" w:h="16838"/>
      <w:pgMar w:top="992" w:right="1247" w:bottom="1440"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577" w:rsidRDefault="00DF2577" w:rsidP="00931437">
      <w:pPr>
        <w:spacing w:before="0"/>
      </w:pPr>
      <w:r>
        <w:separator/>
      </w:r>
    </w:p>
  </w:endnote>
  <w:endnote w:type="continuationSeparator" w:id="0">
    <w:p w:rsidR="00DF2577" w:rsidRDefault="00DF2577"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36E" w:rsidRDefault="0095136E">
    <w:pPr>
      <w:pStyle w:val="Foo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5136E" w:rsidRPr="00862A6E" w:rsidTr="00E76A1E">
      <w:trPr>
        <w:jc w:val="center"/>
      </w:trPr>
      <w:tc>
        <w:tcPr>
          <w:tcW w:w="3383" w:type="dxa"/>
          <w:shd w:val="clear" w:color="auto" w:fill="auto"/>
        </w:tcPr>
        <w:p w:rsidR="0095136E" w:rsidRPr="00862A6E" w:rsidRDefault="0095136E" w:rsidP="003D0BB3">
          <w:pPr>
            <w:jc w:val="left"/>
            <w:rPr>
              <w:rFonts w:ascii="Tahoma" w:hAnsi="Tahoma" w:cs="Tahoma"/>
              <w:bCs/>
              <w:sz w:val="16"/>
              <w:szCs w:val="16"/>
            </w:rPr>
          </w:pPr>
          <w:r w:rsidRPr="00862A6E">
            <w:rPr>
              <w:rFonts w:ascii="Tahoma" w:hAnsi="Tahoma" w:cs="Tahoma"/>
              <w:bCs/>
              <w:sz w:val="16"/>
              <w:szCs w:val="16"/>
            </w:rPr>
            <w:t>Διαδικασία: ΔΙ</w:t>
          </w:r>
          <w:r w:rsidR="00BF47EE" w:rsidRPr="00862A6E">
            <w:rPr>
              <w:rFonts w:ascii="Tahoma" w:hAnsi="Tahoma" w:cs="Tahoma"/>
              <w:bCs/>
              <w:sz w:val="16"/>
              <w:szCs w:val="16"/>
            </w:rPr>
            <w:t>Ι</w:t>
          </w:r>
          <w:r w:rsidRPr="00862A6E">
            <w:rPr>
              <w:rFonts w:ascii="Tahoma" w:hAnsi="Tahoma" w:cs="Tahoma"/>
              <w:bCs/>
              <w:sz w:val="16"/>
              <w:szCs w:val="16"/>
            </w:rPr>
            <w:t>_</w:t>
          </w:r>
          <w:r w:rsidR="00FE085C" w:rsidRPr="00862A6E">
            <w:rPr>
              <w:rFonts w:ascii="Tahoma" w:hAnsi="Tahoma" w:cs="Tahoma"/>
              <w:bCs/>
              <w:sz w:val="16"/>
              <w:szCs w:val="16"/>
            </w:rPr>
            <w:t>2</w:t>
          </w:r>
        </w:p>
        <w:p w:rsidR="0095136E" w:rsidRPr="00862A6E" w:rsidRDefault="0095136E" w:rsidP="0095136E">
          <w:pPr>
            <w:spacing w:before="0"/>
            <w:jc w:val="left"/>
            <w:rPr>
              <w:rFonts w:ascii="Tahoma" w:hAnsi="Tahoma" w:cs="Tahoma"/>
              <w:bCs/>
              <w:sz w:val="16"/>
              <w:szCs w:val="16"/>
            </w:rPr>
          </w:pPr>
          <w:r w:rsidRPr="00862A6E">
            <w:rPr>
              <w:rFonts w:ascii="Tahoma" w:hAnsi="Tahoma" w:cs="Tahoma"/>
              <w:bCs/>
              <w:sz w:val="16"/>
              <w:szCs w:val="16"/>
            </w:rPr>
            <w:t>Έκδοση:1</w:t>
          </w:r>
          <w:r w:rsidRPr="00862A6E">
            <w:rPr>
              <w:rFonts w:ascii="Tahoma" w:hAnsi="Tahoma" w:cs="Tahoma"/>
              <w:bCs/>
              <w:sz w:val="16"/>
              <w:szCs w:val="16"/>
              <w:vertAlign w:val="superscript"/>
            </w:rPr>
            <w:t>η</w:t>
          </w:r>
        </w:p>
        <w:p w:rsidR="0095136E" w:rsidRPr="00632252" w:rsidRDefault="0095136E" w:rsidP="002A6E93">
          <w:pPr>
            <w:spacing w:before="0"/>
            <w:jc w:val="left"/>
            <w:rPr>
              <w:rFonts w:ascii="Tahoma" w:hAnsi="Tahoma" w:cs="Tahoma"/>
              <w:bCs/>
              <w:szCs w:val="20"/>
            </w:rPr>
          </w:pPr>
          <w:proofErr w:type="spellStart"/>
          <w:r w:rsidRPr="00862A6E">
            <w:rPr>
              <w:rFonts w:ascii="Tahoma" w:hAnsi="Tahoma" w:cs="Tahoma"/>
              <w:bCs/>
              <w:sz w:val="16"/>
              <w:szCs w:val="16"/>
            </w:rPr>
            <w:t>Ημ</w:t>
          </w:r>
          <w:proofErr w:type="spellEnd"/>
          <w:r w:rsidRPr="00862A6E">
            <w:rPr>
              <w:rFonts w:ascii="Tahoma" w:hAnsi="Tahoma" w:cs="Tahoma"/>
              <w:bCs/>
              <w:sz w:val="16"/>
              <w:szCs w:val="16"/>
            </w:rPr>
            <w:t xml:space="preserve">. Έκδοσης: </w:t>
          </w:r>
          <w:r w:rsidR="002A6E93" w:rsidRPr="00632252">
            <w:rPr>
              <w:rFonts w:ascii="Tahoma" w:hAnsi="Tahoma" w:cs="Tahoma"/>
              <w:bCs/>
              <w:sz w:val="16"/>
              <w:szCs w:val="16"/>
            </w:rPr>
            <w:t>30</w:t>
          </w:r>
          <w:r w:rsidR="00431CE6" w:rsidRPr="00632252">
            <w:rPr>
              <w:rFonts w:ascii="Tahoma" w:hAnsi="Tahoma" w:cs="Tahoma"/>
              <w:bCs/>
              <w:sz w:val="16"/>
              <w:szCs w:val="16"/>
            </w:rPr>
            <w:t>.</w:t>
          </w:r>
          <w:r w:rsidR="002A6E93" w:rsidRPr="00632252">
            <w:rPr>
              <w:rFonts w:ascii="Tahoma" w:hAnsi="Tahoma" w:cs="Tahoma"/>
              <w:bCs/>
              <w:sz w:val="16"/>
              <w:szCs w:val="16"/>
            </w:rPr>
            <w:t>10</w:t>
          </w:r>
          <w:r w:rsidR="00431CE6" w:rsidRPr="00632252">
            <w:rPr>
              <w:rFonts w:ascii="Tahoma" w:hAnsi="Tahoma" w:cs="Tahoma"/>
              <w:bCs/>
              <w:sz w:val="16"/>
              <w:szCs w:val="16"/>
            </w:rPr>
            <w:t>.2015</w:t>
          </w:r>
        </w:p>
      </w:tc>
      <w:tc>
        <w:tcPr>
          <w:tcW w:w="2850" w:type="dxa"/>
          <w:shd w:val="clear" w:color="auto" w:fill="auto"/>
          <w:vAlign w:val="center"/>
        </w:tcPr>
        <w:p w:rsidR="0095136E" w:rsidRPr="00862A6E" w:rsidRDefault="0095136E" w:rsidP="0095136E">
          <w:pPr>
            <w:spacing w:before="0"/>
            <w:ind w:left="400"/>
            <w:jc w:val="center"/>
            <w:rPr>
              <w:rFonts w:ascii="Tahoma" w:hAnsi="Tahoma" w:cs="Tahoma"/>
              <w:bCs/>
              <w:sz w:val="16"/>
              <w:szCs w:val="16"/>
            </w:rPr>
          </w:pPr>
        </w:p>
        <w:p w:rsidR="0095136E" w:rsidRPr="00862A6E" w:rsidRDefault="0095136E" w:rsidP="0095136E">
          <w:pPr>
            <w:spacing w:before="0"/>
            <w:rPr>
              <w:rFonts w:ascii="Tahoma" w:hAnsi="Tahoma" w:cs="Tahoma"/>
              <w:bCs/>
              <w:sz w:val="16"/>
              <w:szCs w:val="16"/>
            </w:rPr>
          </w:pPr>
          <w:r w:rsidRPr="00862A6E">
            <w:rPr>
              <w:rFonts w:ascii="Tahoma" w:hAnsi="Tahoma" w:cs="Tahoma"/>
              <w:bCs/>
              <w:sz w:val="16"/>
              <w:szCs w:val="16"/>
            </w:rPr>
            <w:t xml:space="preserve">                - </w:t>
          </w:r>
          <w:r w:rsidR="00423046" w:rsidRPr="00862A6E">
            <w:rPr>
              <w:rFonts w:ascii="Tahoma" w:hAnsi="Tahoma" w:cs="Tahoma"/>
              <w:bCs/>
              <w:sz w:val="16"/>
              <w:szCs w:val="16"/>
            </w:rPr>
            <w:fldChar w:fldCharType="begin"/>
          </w:r>
          <w:r w:rsidRPr="00862A6E">
            <w:rPr>
              <w:rFonts w:ascii="Tahoma" w:hAnsi="Tahoma" w:cs="Tahoma"/>
              <w:bCs/>
              <w:sz w:val="16"/>
              <w:szCs w:val="16"/>
            </w:rPr>
            <w:instrText xml:space="preserve"> PAGE </w:instrText>
          </w:r>
          <w:r w:rsidR="00423046" w:rsidRPr="00862A6E">
            <w:rPr>
              <w:rFonts w:ascii="Tahoma" w:hAnsi="Tahoma" w:cs="Tahoma"/>
              <w:bCs/>
              <w:sz w:val="16"/>
              <w:szCs w:val="16"/>
            </w:rPr>
            <w:fldChar w:fldCharType="separate"/>
          </w:r>
          <w:r w:rsidR="003069C4">
            <w:rPr>
              <w:rFonts w:ascii="Tahoma" w:hAnsi="Tahoma" w:cs="Tahoma"/>
              <w:bCs/>
              <w:noProof/>
              <w:sz w:val="16"/>
              <w:szCs w:val="16"/>
            </w:rPr>
            <w:t>3</w:t>
          </w:r>
          <w:r w:rsidR="00423046" w:rsidRPr="00862A6E">
            <w:rPr>
              <w:rFonts w:ascii="Tahoma" w:hAnsi="Tahoma" w:cs="Tahoma"/>
              <w:bCs/>
              <w:sz w:val="16"/>
              <w:szCs w:val="16"/>
            </w:rPr>
            <w:fldChar w:fldCharType="end"/>
          </w:r>
          <w:r w:rsidRPr="00862A6E">
            <w:rPr>
              <w:rFonts w:ascii="Tahoma" w:hAnsi="Tahoma" w:cs="Tahoma"/>
              <w:bCs/>
              <w:sz w:val="16"/>
              <w:szCs w:val="16"/>
            </w:rPr>
            <w:t xml:space="preserve"> -</w:t>
          </w:r>
        </w:p>
      </w:tc>
      <w:tc>
        <w:tcPr>
          <w:tcW w:w="2798" w:type="dxa"/>
          <w:shd w:val="clear" w:color="auto" w:fill="auto"/>
          <w:vAlign w:val="center"/>
        </w:tcPr>
        <w:p w:rsidR="0095136E" w:rsidRPr="00862A6E" w:rsidRDefault="008D7E13" w:rsidP="003D0BB3">
          <w:pPr>
            <w:jc w:val="right"/>
            <w:rPr>
              <w:rFonts w:ascii="Tahoma" w:hAnsi="Tahoma" w:cs="Tahoma"/>
              <w:bCs/>
              <w:szCs w:val="20"/>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95136E" w:rsidRDefault="0095136E">
    <w:pPr>
      <w:pStyle w:val="Footer"/>
    </w:pPr>
  </w:p>
  <w:p w:rsidR="0095136E" w:rsidRDefault="009513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577" w:rsidRDefault="00DF2577" w:rsidP="00931437">
      <w:pPr>
        <w:spacing w:before="0"/>
      </w:pPr>
      <w:r>
        <w:separator/>
      </w:r>
    </w:p>
  </w:footnote>
  <w:footnote w:type="continuationSeparator" w:id="0">
    <w:p w:rsidR="00DF2577" w:rsidRDefault="00DF2577" w:rsidP="0093143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4">
    <w:nsid w:val="17362244"/>
    <w:multiLevelType w:val="hybridMultilevel"/>
    <w:tmpl w:val="CA9C5092"/>
    <w:lvl w:ilvl="0" w:tplc="56EC2DBE">
      <w:start w:val="1"/>
      <w:numFmt w:val="lowerRoman"/>
      <w:pStyle w:val="ListBullet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5">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57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95337E0"/>
    <w:multiLevelType w:val="hybridMultilevel"/>
    <w:tmpl w:val="7A3E1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96B4FB0"/>
    <w:multiLevelType w:val="hybridMultilevel"/>
    <w:tmpl w:val="97901ADE"/>
    <w:lvl w:ilvl="0" w:tplc="2CCCD248">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15"/>
  </w:num>
  <w:num w:numId="5">
    <w:abstractNumId w:val="13"/>
  </w:num>
  <w:num w:numId="6">
    <w:abstractNumId w:val="1"/>
  </w:num>
  <w:num w:numId="7">
    <w:abstractNumId w:val="2"/>
  </w:num>
  <w:num w:numId="8">
    <w:abstractNumId w:val="11"/>
  </w:num>
  <w:num w:numId="9">
    <w:abstractNumId w:val="7"/>
  </w:num>
  <w:num w:numId="10">
    <w:abstractNumId w:val="8"/>
  </w:num>
  <w:num w:numId="11">
    <w:abstractNumId w:val="9"/>
  </w:num>
  <w:num w:numId="12">
    <w:abstractNumId w:val="10"/>
  </w:num>
  <w:num w:numId="13">
    <w:abstractNumId w:val="0"/>
  </w:num>
  <w:num w:numId="14">
    <w:abstractNumId w:val="14"/>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oNotTrackFormatting/>
  <w:defaultTabStop w:val="720"/>
  <w:drawingGridHorizontalSpacing w:val="10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931437"/>
    <w:rsid w:val="0001126B"/>
    <w:rsid w:val="00023902"/>
    <w:rsid w:val="00043856"/>
    <w:rsid w:val="000B4F90"/>
    <w:rsid w:val="000D2727"/>
    <w:rsid w:val="000F0CDB"/>
    <w:rsid w:val="001012EB"/>
    <w:rsid w:val="001045C9"/>
    <w:rsid w:val="00142CE8"/>
    <w:rsid w:val="00181D0D"/>
    <w:rsid w:val="00187B34"/>
    <w:rsid w:val="001D4D0E"/>
    <w:rsid w:val="001D744D"/>
    <w:rsid w:val="00232DA9"/>
    <w:rsid w:val="002643B1"/>
    <w:rsid w:val="002A6E93"/>
    <w:rsid w:val="002C521A"/>
    <w:rsid w:val="002D47B2"/>
    <w:rsid w:val="00301C65"/>
    <w:rsid w:val="00306669"/>
    <w:rsid w:val="003069C4"/>
    <w:rsid w:val="003163F7"/>
    <w:rsid w:val="003839F9"/>
    <w:rsid w:val="003A7C23"/>
    <w:rsid w:val="003B3DB1"/>
    <w:rsid w:val="003C4030"/>
    <w:rsid w:val="003C4EB4"/>
    <w:rsid w:val="003D0BB3"/>
    <w:rsid w:val="003F76AB"/>
    <w:rsid w:val="003F7EA3"/>
    <w:rsid w:val="0041432C"/>
    <w:rsid w:val="00421121"/>
    <w:rsid w:val="00423046"/>
    <w:rsid w:val="00431CE6"/>
    <w:rsid w:val="0046175A"/>
    <w:rsid w:val="0046289F"/>
    <w:rsid w:val="00475CC7"/>
    <w:rsid w:val="004861F5"/>
    <w:rsid w:val="004A4A53"/>
    <w:rsid w:val="004B64E5"/>
    <w:rsid w:val="004D4237"/>
    <w:rsid w:val="004E369B"/>
    <w:rsid w:val="00503F62"/>
    <w:rsid w:val="005558F2"/>
    <w:rsid w:val="00575269"/>
    <w:rsid w:val="005C438F"/>
    <w:rsid w:val="005E142E"/>
    <w:rsid w:val="00624DE0"/>
    <w:rsid w:val="00632252"/>
    <w:rsid w:val="00650F31"/>
    <w:rsid w:val="00680AAE"/>
    <w:rsid w:val="006B518F"/>
    <w:rsid w:val="006C5CE2"/>
    <w:rsid w:val="00744E49"/>
    <w:rsid w:val="00764A4A"/>
    <w:rsid w:val="007D1B27"/>
    <w:rsid w:val="00805339"/>
    <w:rsid w:val="00815B57"/>
    <w:rsid w:val="00815CF6"/>
    <w:rsid w:val="00855017"/>
    <w:rsid w:val="008573F7"/>
    <w:rsid w:val="00862A6E"/>
    <w:rsid w:val="008758A7"/>
    <w:rsid w:val="00883FCD"/>
    <w:rsid w:val="008B447D"/>
    <w:rsid w:val="008D7E13"/>
    <w:rsid w:val="008E3640"/>
    <w:rsid w:val="00917280"/>
    <w:rsid w:val="00931437"/>
    <w:rsid w:val="009452A6"/>
    <w:rsid w:val="0095136E"/>
    <w:rsid w:val="00955B73"/>
    <w:rsid w:val="009706A5"/>
    <w:rsid w:val="00981F58"/>
    <w:rsid w:val="0098753D"/>
    <w:rsid w:val="00995490"/>
    <w:rsid w:val="009A7889"/>
    <w:rsid w:val="009D4724"/>
    <w:rsid w:val="009E509F"/>
    <w:rsid w:val="009F7E0C"/>
    <w:rsid w:val="00A04F1C"/>
    <w:rsid w:val="00A07382"/>
    <w:rsid w:val="00A215F3"/>
    <w:rsid w:val="00A307D1"/>
    <w:rsid w:val="00A43170"/>
    <w:rsid w:val="00A4618C"/>
    <w:rsid w:val="00A97686"/>
    <w:rsid w:val="00AA701F"/>
    <w:rsid w:val="00AA7144"/>
    <w:rsid w:val="00AB5B27"/>
    <w:rsid w:val="00AB6EA1"/>
    <w:rsid w:val="00AF1C18"/>
    <w:rsid w:val="00B052C7"/>
    <w:rsid w:val="00B07FBF"/>
    <w:rsid w:val="00B17E67"/>
    <w:rsid w:val="00B219C4"/>
    <w:rsid w:val="00B455D5"/>
    <w:rsid w:val="00B56CA0"/>
    <w:rsid w:val="00BD0199"/>
    <w:rsid w:val="00BF3E57"/>
    <w:rsid w:val="00BF47EE"/>
    <w:rsid w:val="00BF60B2"/>
    <w:rsid w:val="00C02717"/>
    <w:rsid w:val="00C15BB2"/>
    <w:rsid w:val="00C1658B"/>
    <w:rsid w:val="00C37046"/>
    <w:rsid w:val="00C4687D"/>
    <w:rsid w:val="00CA195A"/>
    <w:rsid w:val="00CA3707"/>
    <w:rsid w:val="00CE108D"/>
    <w:rsid w:val="00CF4456"/>
    <w:rsid w:val="00D156F4"/>
    <w:rsid w:val="00D845C8"/>
    <w:rsid w:val="00D90104"/>
    <w:rsid w:val="00DA5839"/>
    <w:rsid w:val="00DD578A"/>
    <w:rsid w:val="00DF2577"/>
    <w:rsid w:val="00DF4BE5"/>
    <w:rsid w:val="00E045C4"/>
    <w:rsid w:val="00E12687"/>
    <w:rsid w:val="00E223BA"/>
    <w:rsid w:val="00E350A2"/>
    <w:rsid w:val="00E51BB6"/>
    <w:rsid w:val="00E61210"/>
    <w:rsid w:val="00E74398"/>
    <w:rsid w:val="00E9241D"/>
    <w:rsid w:val="00EB2747"/>
    <w:rsid w:val="00ED6DE9"/>
    <w:rsid w:val="00EE5477"/>
    <w:rsid w:val="00EE7398"/>
    <w:rsid w:val="00EF1F9C"/>
    <w:rsid w:val="00F15B02"/>
    <w:rsid w:val="00F50EA6"/>
    <w:rsid w:val="00F66995"/>
    <w:rsid w:val="00F75F7C"/>
    <w:rsid w:val="00FA326F"/>
    <w:rsid w:val="00FC46F1"/>
    <w:rsid w:val="00FE08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931437"/>
    <w:rPr>
      <w:rFonts w:ascii="Arial Narrow" w:hAnsi="Arial Narrow" w:cs="Times New Roman"/>
      <w:color w:val="990000"/>
      <w:szCs w:val="24"/>
      <w:lang w:eastAsia="el-GR"/>
    </w:rPr>
  </w:style>
  <w:style w:type="character" w:customStyle="1" w:styleId="Heading6Char">
    <w:name w:val="Heading 6 Char"/>
    <w:basedOn w:val="DefaultParagraphFont"/>
    <w:link w:val="Heading6"/>
    <w:rsid w:val="0093143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93143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Footnote Text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List Bullet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Header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Footer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Comment Text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Comment Subject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uiPriority w:val="59"/>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B07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07FBF"/>
    <w:rPr>
      <w:rFonts w:ascii="Courier New" w:hAnsi="Courier New" w:cs="Courier New"/>
      <w:sz w:val="20"/>
      <w:szCs w:val="20"/>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Επικεφαλίδα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Επικεφαλίδα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Επικεφαλίδα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Επικεφαλίδα 5 Char"/>
    <w:basedOn w:val="DefaultParagraphFont"/>
    <w:link w:val="Heading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Heading6Char">
    <w:name w:val="Επικεφαλίδα 6 Char"/>
    <w:basedOn w:val="DefaultParagraphFont"/>
    <w:link w:val="Heading6"/>
    <w:rsid w:val="00931437"/>
    <w:rPr>
      <w:rFonts w:ascii="Cambria" w:hAnsi="Cambria" w:cs="Times New Roman"/>
      <w:i/>
      <w:iCs/>
      <w:color w:val="243F60"/>
      <w:szCs w:val="24"/>
      <w:lang w:eastAsia="el-GR"/>
    </w:rPr>
  </w:style>
  <w:style w:type="character" w:customStyle="1" w:styleId="Heading7Char">
    <w:name w:val="Επικεφαλίδα 7 Char"/>
    <w:basedOn w:val="DefaultParagraphFont"/>
    <w:link w:val="Heading7"/>
    <w:rsid w:val="00931437"/>
    <w:rPr>
      <w:rFonts w:ascii="Cambria" w:hAnsi="Cambria" w:cs="Times New Roman"/>
      <w:i/>
      <w:iCs/>
      <w:color w:val="404040"/>
      <w:szCs w:val="24"/>
      <w:lang w:eastAsia="el-GR"/>
    </w:rPr>
  </w:style>
  <w:style w:type="character" w:customStyle="1" w:styleId="Heading8Char">
    <w:name w:val="Επικεφαλίδα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Επικεφαλίδα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Κείμενο υποσημείωσης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Λίστα με κουκκίδες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Κεφαλίδα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Υποσέλιδο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Κείμενο σχολίου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Θέμα σχολίου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uiPriority w:val="59"/>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B07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PreformattedChar">
    <w:name w:val="Προ-διαμορφωμένο HTML Char"/>
    <w:basedOn w:val="DefaultParagraphFont"/>
    <w:link w:val="HTMLPreformatted"/>
    <w:uiPriority w:val="99"/>
    <w:semiHidden/>
    <w:rsid w:val="00B07FBF"/>
    <w:rPr>
      <w:rFonts w:ascii="Courier New" w:hAnsi="Courier New" w:cs="Courier New"/>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979301">
      <w:bodyDiv w:val="1"/>
      <w:marLeft w:val="0"/>
      <w:marRight w:val="0"/>
      <w:marTop w:val="0"/>
      <w:marBottom w:val="0"/>
      <w:divBdr>
        <w:top w:val="none" w:sz="0" w:space="0" w:color="auto"/>
        <w:left w:val="none" w:sz="0" w:space="0" w:color="auto"/>
        <w:bottom w:val="none" w:sz="0" w:space="0" w:color="auto"/>
        <w:right w:val="none" w:sz="0" w:space="0" w:color="auto"/>
      </w:divBdr>
      <w:divsChild>
        <w:div w:id="1260142981">
          <w:marLeft w:val="0"/>
          <w:marRight w:val="0"/>
          <w:marTop w:val="0"/>
          <w:marBottom w:val="0"/>
          <w:divBdr>
            <w:top w:val="none" w:sz="0" w:space="0" w:color="auto"/>
            <w:left w:val="none" w:sz="0" w:space="0" w:color="auto"/>
            <w:bottom w:val="none" w:sz="0" w:space="0" w:color="auto"/>
            <w:right w:val="none" w:sz="0" w:space="0" w:color="auto"/>
          </w:divBdr>
        </w:div>
      </w:divsChild>
    </w:div>
    <w:div w:id="1501773902">
      <w:bodyDiv w:val="1"/>
      <w:marLeft w:val="0"/>
      <w:marRight w:val="0"/>
      <w:marTop w:val="0"/>
      <w:marBottom w:val="0"/>
      <w:divBdr>
        <w:top w:val="none" w:sz="0" w:space="0" w:color="auto"/>
        <w:left w:val="none" w:sz="0" w:space="0" w:color="auto"/>
        <w:bottom w:val="none" w:sz="0" w:space="0" w:color="auto"/>
        <w:right w:val="none" w:sz="0" w:space="0" w:color="auto"/>
      </w:divBdr>
      <w:divsChild>
        <w:div w:id="747727585">
          <w:marLeft w:val="0"/>
          <w:marRight w:val="0"/>
          <w:marTop w:val="0"/>
          <w:marBottom w:val="0"/>
          <w:divBdr>
            <w:top w:val="none" w:sz="0" w:space="0" w:color="auto"/>
            <w:left w:val="none" w:sz="0" w:space="0" w:color="auto"/>
            <w:bottom w:val="none" w:sz="0" w:space="0" w:color="auto"/>
            <w:right w:val="none" w:sz="0" w:space="0" w:color="auto"/>
          </w:divBdr>
        </w:div>
      </w:divsChild>
    </w:div>
    <w:div w:id="206775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1211</Words>
  <Characters>6545</Characters>
  <Application>Microsoft Office Word</Application>
  <DocSecurity>0</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ar</cp:lastModifiedBy>
  <cp:revision>4</cp:revision>
  <dcterms:created xsi:type="dcterms:W3CDTF">2015-11-06T10:08:00Z</dcterms:created>
  <dcterms:modified xsi:type="dcterms:W3CDTF">2015-11-09T10:45:00Z</dcterms:modified>
</cp:coreProperties>
</file>